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3065F5" w14:textId="77777777" w:rsidR="00F87D04" w:rsidRDefault="00F87D04"/>
    <w:p w14:paraId="10C43675" w14:textId="77777777" w:rsidR="008B260D" w:rsidRDefault="00C01C2B">
      <w:pPr>
        <w:rPr>
          <w:b/>
        </w:rPr>
      </w:pPr>
      <w:r>
        <w:rPr>
          <w:b/>
        </w:rPr>
        <w:t>Data Integrity Checklist</w:t>
      </w:r>
    </w:p>
    <w:p w14:paraId="5269EF2F" w14:textId="77777777" w:rsidR="00C01C2B" w:rsidRDefault="00C01C2B">
      <w:r>
        <w:t xml:space="preserve">In order to improve efficiency and accuracy in data analysis, it is important to provide clean datasets. These datasets should be free of errors, in a finalized format, and contain all data necessary for analysis. To help facilitate the creation of such dataset, utilize the checklist below to ensure some common issues are eliminated </w:t>
      </w:r>
      <w:r w:rsidR="00897302">
        <w:t xml:space="preserve">and best practices implemented </w:t>
      </w:r>
      <w:r>
        <w:t xml:space="preserve">prior to submission. </w:t>
      </w:r>
      <w:r w:rsidR="00897302">
        <w:t xml:space="preserve">Many of these pitfalls can be avoided using a database software, such as </w:t>
      </w:r>
      <w:proofErr w:type="spellStart"/>
      <w:r w:rsidR="00897302">
        <w:t>RedCap</w:t>
      </w:r>
      <w:proofErr w:type="spellEnd"/>
      <w:r w:rsidR="00897302">
        <w:t xml:space="preserve">. </w:t>
      </w:r>
      <w:r w:rsidR="00897302" w:rsidRPr="007D524E">
        <w:rPr>
          <w:b/>
        </w:rPr>
        <w:t>If permissible by your IRB and the resources available, we strongly recommend the use of this software to aide with your data management.</w:t>
      </w:r>
      <w:r w:rsidR="00A66178">
        <w:t xml:space="preserve"> Please make sure to provide a data dictionary will your dataset as well. This should outline what variables and their values represent, as well as any other clarifying information.</w:t>
      </w:r>
    </w:p>
    <w:tbl>
      <w:tblPr>
        <w:tblStyle w:val="TableGrid"/>
        <w:tblW w:w="0" w:type="auto"/>
        <w:tblLook w:val="04A0" w:firstRow="1" w:lastRow="0" w:firstColumn="1" w:lastColumn="0" w:noHBand="0" w:noVBand="1"/>
      </w:tblPr>
      <w:tblGrid>
        <w:gridCol w:w="7375"/>
        <w:gridCol w:w="1975"/>
      </w:tblGrid>
      <w:tr w:rsidR="00C01C2B" w14:paraId="37C83EE3" w14:textId="77777777" w:rsidTr="00EA1B6D">
        <w:tc>
          <w:tcPr>
            <w:tcW w:w="7375" w:type="dxa"/>
            <w:tcBorders>
              <w:bottom w:val="single" w:sz="12" w:space="0" w:color="auto"/>
            </w:tcBorders>
          </w:tcPr>
          <w:p w14:paraId="4509BF42" w14:textId="77777777" w:rsidR="00C01C2B" w:rsidRPr="00EA1B6D" w:rsidRDefault="00B714B7" w:rsidP="00B714B7">
            <w:pPr>
              <w:rPr>
                <w:b/>
              </w:rPr>
            </w:pPr>
            <w:r w:rsidRPr="00EA1B6D">
              <w:rPr>
                <w:b/>
              </w:rPr>
              <w:t>Variables</w:t>
            </w:r>
          </w:p>
        </w:tc>
        <w:tc>
          <w:tcPr>
            <w:tcW w:w="1975" w:type="dxa"/>
            <w:tcBorders>
              <w:bottom w:val="single" w:sz="12" w:space="0" w:color="auto"/>
            </w:tcBorders>
          </w:tcPr>
          <w:p w14:paraId="21FB1102" w14:textId="77777777" w:rsidR="00C01C2B" w:rsidRPr="00EA1B6D" w:rsidRDefault="00EA1B6D">
            <w:pPr>
              <w:rPr>
                <w:b/>
              </w:rPr>
            </w:pPr>
            <w:r w:rsidRPr="00EA1B6D">
              <w:rPr>
                <w:b/>
              </w:rPr>
              <w:t>Checked (Yes/No)?</w:t>
            </w:r>
          </w:p>
        </w:tc>
      </w:tr>
      <w:tr w:rsidR="00C01C2B" w14:paraId="741DED59" w14:textId="77777777" w:rsidTr="00EA1B6D">
        <w:tc>
          <w:tcPr>
            <w:tcW w:w="7375" w:type="dxa"/>
            <w:tcBorders>
              <w:top w:val="single" w:sz="12" w:space="0" w:color="auto"/>
            </w:tcBorders>
          </w:tcPr>
          <w:p w14:paraId="1821570B" w14:textId="77777777" w:rsidR="00897302" w:rsidRDefault="00B714B7" w:rsidP="00897302">
            <w:pPr>
              <w:pStyle w:val="ListParagraph"/>
              <w:numPr>
                <w:ilvl w:val="0"/>
                <w:numId w:val="1"/>
              </w:numPr>
              <w:rPr>
                <w:b/>
              </w:rPr>
            </w:pPr>
            <w:r w:rsidRPr="00EA1B6D">
              <w:rPr>
                <w:b/>
              </w:rPr>
              <w:t>Short and meaningful names</w:t>
            </w:r>
            <w:r w:rsidR="00EA1B6D">
              <w:rPr>
                <w:b/>
              </w:rPr>
              <w:t xml:space="preserve">: </w:t>
            </w:r>
            <w:r w:rsidR="00EA1B6D">
              <w:t>The shorter the name</w:t>
            </w:r>
            <w:r w:rsidR="00A66178">
              <w:t>, the le</w:t>
            </w:r>
            <w:r w:rsidR="00EA1B6D">
              <w:t xml:space="preserve">ss room for error due to spelling mistakes. However, </w:t>
            </w:r>
            <w:r w:rsidR="00897302">
              <w:t>the names themselves still need to be meaningful. Some lexicons to avoid:</w:t>
            </w:r>
            <w:r w:rsidR="00897302">
              <w:rPr>
                <w:b/>
              </w:rPr>
              <w:t xml:space="preserve"> </w:t>
            </w:r>
          </w:p>
          <w:p w14:paraId="52150CE6" w14:textId="77777777" w:rsidR="00897302" w:rsidRPr="00897302" w:rsidRDefault="00897302" w:rsidP="00897302">
            <w:pPr>
              <w:pStyle w:val="ListParagraph"/>
              <w:numPr>
                <w:ilvl w:val="0"/>
                <w:numId w:val="4"/>
              </w:numPr>
              <w:rPr>
                <w:b/>
              </w:rPr>
            </w:pPr>
            <w:r>
              <w:t xml:space="preserve">Meaningless names (e.g. </w:t>
            </w:r>
            <w:proofErr w:type="spellStart"/>
            <w:r>
              <w:t>tmp</w:t>
            </w:r>
            <w:proofErr w:type="spellEnd"/>
            <w:r>
              <w:t xml:space="preserve">, </w:t>
            </w:r>
            <w:proofErr w:type="spellStart"/>
            <w:r>
              <w:t>baz</w:t>
            </w:r>
            <w:proofErr w:type="spellEnd"/>
            <w:r>
              <w:t>)</w:t>
            </w:r>
          </w:p>
          <w:p w14:paraId="0C9CAD79" w14:textId="77777777" w:rsidR="00897302" w:rsidRPr="00897302" w:rsidRDefault="00897302" w:rsidP="00897302">
            <w:pPr>
              <w:pStyle w:val="ListParagraph"/>
              <w:numPr>
                <w:ilvl w:val="0"/>
                <w:numId w:val="4"/>
              </w:numPr>
              <w:rPr>
                <w:b/>
              </w:rPr>
            </w:pPr>
            <w:r>
              <w:t>Abstract names (e.g. data, object, thing)</w:t>
            </w:r>
          </w:p>
          <w:p w14:paraId="71B7AD3B" w14:textId="77777777" w:rsidR="00897302" w:rsidRPr="00897302" w:rsidRDefault="00897302" w:rsidP="00897302">
            <w:pPr>
              <w:pStyle w:val="ListParagraph"/>
              <w:numPr>
                <w:ilvl w:val="0"/>
                <w:numId w:val="4"/>
              </w:numPr>
              <w:rPr>
                <w:b/>
              </w:rPr>
            </w:pPr>
            <w:r>
              <w:t>Numeric suffixes where the number has no meaning (e.g. final2)</w:t>
            </w:r>
          </w:p>
          <w:p w14:paraId="2E7DAC11" w14:textId="77777777" w:rsidR="00897302" w:rsidRPr="00897302" w:rsidRDefault="00897302" w:rsidP="00897302">
            <w:pPr>
              <w:pStyle w:val="ListParagraph"/>
              <w:numPr>
                <w:ilvl w:val="0"/>
                <w:numId w:val="4"/>
              </w:numPr>
              <w:rPr>
                <w:b/>
              </w:rPr>
            </w:pPr>
            <w:r>
              <w:t xml:space="preserve">Overly short names (e.g. a, aa, </w:t>
            </w:r>
            <w:proofErr w:type="spellStart"/>
            <w:r>
              <w:t>aaa</w:t>
            </w:r>
            <w:proofErr w:type="spellEnd"/>
            <w:r>
              <w:t>)</w:t>
            </w:r>
          </w:p>
          <w:p w14:paraId="263ED6ED" w14:textId="77777777" w:rsidR="00897302" w:rsidRPr="00897302" w:rsidRDefault="00897302" w:rsidP="00897302">
            <w:pPr>
              <w:pStyle w:val="ListParagraph"/>
              <w:numPr>
                <w:ilvl w:val="0"/>
                <w:numId w:val="4"/>
              </w:numPr>
              <w:rPr>
                <w:b/>
              </w:rPr>
            </w:pPr>
            <w:r>
              <w:t xml:space="preserve">Overly abbreviated names (e.g. </w:t>
            </w:r>
            <w:proofErr w:type="spellStart"/>
            <w:r>
              <w:t>HspDsch</w:t>
            </w:r>
            <w:proofErr w:type="spellEnd"/>
            <w:r>
              <w:t xml:space="preserve">, </w:t>
            </w:r>
            <w:proofErr w:type="spellStart"/>
            <w:r>
              <w:t>flup</w:t>
            </w:r>
            <w:proofErr w:type="spellEnd"/>
            <w:r>
              <w:t>)</w:t>
            </w:r>
          </w:p>
          <w:p w14:paraId="53C81844" w14:textId="77777777" w:rsidR="00897302" w:rsidRPr="00897302" w:rsidRDefault="00897302" w:rsidP="00897302">
            <w:pPr>
              <w:pStyle w:val="ListParagraph"/>
              <w:numPr>
                <w:ilvl w:val="0"/>
                <w:numId w:val="4"/>
              </w:numPr>
              <w:rPr>
                <w:b/>
              </w:rPr>
            </w:pPr>
            <w:r>
              <w:t>Overly long names (</w:t>
            </w:r>
            <w:proofErr w:type="spellStart"/>
            <w:r>
              <w:t>ReceivedAssignedTreatmentGroup</w:t>
            </w:r>
            <w:proofErr w:type="spellEnd"/>
            <w:r>
              <w:t>)</w:t>
            </w:r>
          </w:p>
          <w:p w14:paraId="3E57BE32" w14:textId="77777777" w:rsidR="00897302" w:rsidRPr="00897302" w:rsidRDefault="00897302" w:rsidP="00897302">
            <w:pPr>
              <w:pStyle w:val="ListParagraph"/>
              <w:numPr>
                <w:ilvl w:val="0"/>
                <w:numId w:val="4"/>
              </w:numPr>
              <w:rPr>
                <w:b/>
              </w:rPr>
            </w:pPr>
            <w:r>
              <w:t xml:space="preserve">Similar names (e.g. </w:t>
            </w:r>
            <w:proofErr w:type="spellStart"/>
            <w:r>
              <w:t>PainGp</w:t>
            </w:r>
            <w:proofErr w:type="spellEnd"/>
            <w:r>
              <w:t xml:space="preserve">, </w:t>
            </w:r>
            <w:proofErr w:type="spellStart"/>
            <w:r>
              <w:t>PainGrp</w:t>
            </w:r>
            <w:proofErr w:type="spellEnd"/>
            <w:r>
              <w:t>)</w:t>
            </w:r>
          </w:p>
        </w:tc>
        <w:tc>
          <w:tcPr>
            <w:tcW w:w="1975" w:type="dxa"/>
            <w:tcBorders>
              <w:top w:val="single" w:sz="12" w:space="0" w:color="auto"/>
            </w:tcBorders>
          </w:tcPr>
          <w:p w14:paraId="472867AB" w14:textId="77777777" w:rsidR="00C01C2B" w:rsidRDefault="00C01C2B"/>
        </w:tc>
      </w:tr>
      <w:tr w:rsidR="00C01C2B" w14:paraId="25CDBADC" w14:textId="77777777" w:rsidTr="00EA1B6D">
        <w:tc>
          <w:tcPr>
            <w:tcW w:w="7375" w:type="dxa"/>
          </w:tcPr>
          <w:p w14:paraId="3B27748E" w14:textId="77777777" w:rsidR="00C01C2B" w:rsidRPr="00EA1B6D" w:rsidRDefault="00B714B7" w:rsidP="00B714B7">
            <w:pPr>
              <w:pStyle w:val="ListParagraph"/>
              <w:numPr>
                <w:ilvl w:val="0"/>
                <w:numId w:val="1"/>
              </w:numPr>
              <w:rPr>
                <w:b/>
              </w:rPr>
            </w:pPr>
            <w:r w:rsidRPr="00EA1B6D">
              <w:rPr>
                <w:b/>
              </w:rPr>
              <w:t>No numbers or special characters prefacing a variable</w:t>
            </w:r>
            <w:r w:rsidR="00897302">
              <w:rPr>
                <w:b/>
              </w:rPr>
              <w:t xml:space="preserve">: </w:t>
            </w:r>
            <w:r w:rsidR="00A66178">
              <w:t>Generally,</w:t>
            </w:r>
            <w:r w:rsidR="00897302">
              <w:t xml:space="preserve"> data provided in an </w:t>
            </w:r>
            <w:r w:rsidR="00A66178">
              <w:t>E</w:t>
            </w:r>
            <w:r w:rsidR="00897302">
              <w:t>xcel format will be loaded into a statistical software (such as SAS or R) which has difficultly loading variables that begin with a special character or number (e.g. #discharged, 2measure).</w:t>
            </w:r>
          </w:p>
        </w:tc>
        <w:tc>
          <w:tcPr>
            <w:tcW w:w="1975" w:type="dxa"/>
          </w:tcPr>
          <w:p w14:paraId="73AF43EC" w14:textId="77777777" w:rsidR="00C01C2B" w:rsidRDefault="00C01C2B"/>
        </w:tc>
      </w:tr>
      <w:tr w:rsidR="00C01C2B" w14:paraId="0B76D817" w14:textId="77777777" w:rsidTr="00EA1B6D">
        <w:tc>
          <w:tcPr>
            <w:tcW w:w="7375" w:type="dxa"/>
            <w:tcBorders>
              <w:bottom w:val="single" w:sz="12" w:space="0" w:color="auto"/>
            </w:tcBorders>
          </w:tcPr>
          <w:p w14:paraId="608642CA" w14:textId="77777777" w:rsidR="00B714B7" w:rsidRPr="00EA1B6D" w:rsidRDefault="00897302">
            <w:pPr>
              <w:rPr>
                <w:b/>
              </w:rPr>
            </w:pPr>
            <w:r>
              <w:rPr>
                <w:b/>
              </w:rPr>
              <w:t>Input</w:t>
            </w:r>
            <w:r w:rsidR="00B714B7" w:rsidRPr="00EA1B6D">
              <w:rPr>
                <w:b/>
              </w:rPr>
              <w:t xml:space="preserve"> Categorization</w:t>
            </w:r>
          </w:p>
        </w:tc>
        <w:tc>
          <w:tcPr>
            <w:tcW w:w="1975" w:type="dxa"/>
            <w:tcBorders>
              <w:bottom w:val="single" w:sz="12" w:space="0" w:color="auto"/>
            </w:tcBorders>
          </w:tcPr>
          <w:p w14:paraId="19BD3A6B" w14:textId="77777777" w:rsidR="00C01C2B" w:rsidRDefault="00C01C2B"/>
        </w:tc>
      </w:tr>
      <w:tr w:rsidR="00C01C2B" w14:paraId="4CD085B3" w14:textId="77777777" w:rsidTr="00EA1B6D">
        <w:tc>
          <w:tcPr>
            <w:tcW w:w="7375" w:type="dxa"/>
            <w:tcBorders>
              <w:top w:val="single" w:sz="12" w:space="0" w:color="auto"/>
            </w:tcBorders>
          </w:tcPr>
          <w:p w14:paraId="694CAD30" w14:textId="77777777" w:rsidR="00C01C2B" w:rsidRPr="004C3726" w:rsidRDefault="00B714B7" w:rsidP="004C3726">
            <w:pPr>
              <w:pStyle w:val="ListParagraph"/>
              <w:numPr>
                <w:ilvl w:val="0"/>
                <w:numId w:val="1"/>
              </w:numPr>
              <w:rPr>
                <w:b/>
              </w:rPr>
            </w:pPr>
            <w:r w:rsidRPr="004C3726">
              <w:rPr>
                <w:b/>
              </w:rPr>
              <w:t>Type</w:t>
            </w:r>
            <w:r w:rsidR="00897302" w:rsidRPr="004C3726">
              <w:rPr>
                <w:b/>
              </w:rPr>
              <w:t xml:space="preserve">: </w:t>
            </w:r>
            <w:r w:rsidR="00897302">
              <w:t xml:space="preserve">Keep input of the same type throughout the variable. Make sure that there are not text entries in a numeric </w:t>
            </w:r>
            <w:r w:rsidR="00830B92">
              <w:t xml:space="preserve">variable and vice versa. This is often visually apparent in Excel as values formatted as text will be on the left side of the cell, and numeric will be on the right. </w:t>
            </w:r>
          </w:p>
        </w:tc>
        <w:tc>
          <w:tcPr>
            <w:tcW w:w="1975" w:type="dxa"/>
            <w:tcBorders>
              <w:top w:val="single" w:sz="12" w:space="0" w:color="auto"/>
            </w:tcBorders>
          </w:tcPr>
          <w:p w14:paraId="3D9D0B8A" w14:textId="77777777" w:rsidR="00C01C2B" w:rsidRDefault="00C01C2B"/>
        </w:tc>
      </w:tr>
      <w:tr w:rsidR="00C01C2B" w14:paraId="72DC1303" w14:textId="77777777" w:rsidTr="00EA1B6D">
        <w:tc>
          <w:tcPr>
            <w:tcW w:w="7375" w:type="dxa"/>
          </w:tcPr>
          <w:p w14:paraId="76A5F253" w14:textId="77777777" w:rsidR="00B714B7" w:rsidRPr="00EA1B6D" w:rsidRDefault="00B714B7" w:rsidP="004C3726">
            <w:pPr>
              <w:pStyle w:val="ListParagraph"/>
              <w:numPr>
                <w:ilvl w:val="0"/>
                <w:numId w:val="1"/>
              </w:numPr>
              <w:rPr>
                <w:b/>
              </w:rPr>
            </w:pPr>
            <w:r w:rsidRPr="00EA1B6D">
              <w:rPr>
                <w:b/>
              </w:rPr>
              <w:t>Consistency</w:t>
            </w:r>
            <w:r w:rsidR="00830B92">
              <w:rPr>
                <w:b/>
              </w:rPr>
              <w:t xml:space="preserve">: </w:t>
            </w:r>
            <w:r w:rsidR="00830B92">
              <w:t>Make sure there is consistent coding throughout the variable. This increases efficiency as analytical software programs are particular and do not recognize differences that may seem second nature (e.g. Male vs. male vs. M).</w:t>
            </w:r>
          </w:p>
        </w:tc>
        <w:tc>
          <w:tcPr>
            <w:tcW w:w="1975" w:type="dxa"/>
          </w:tcPr>
          <w:p w14:paraId="574E533C" w14:textId="77777777" w:rsidR="00C01C2B" w:rsidRDefault="00C01C2B"/>
        </w:tc>
      </w:tr>
      <w:tr w:rsidR="00C01C2B" w14:paraId="78DC83C0" w14:textId="77777777" w:rsidTr="00EA1B6D">
        <w:tc>
          <w:tcPr>
            <w:tcW w:w="7375" w:type="dxa"/>
          </w:tcPr>
          <w:p w14:paraId="7FD261B5" w14:textId="77777777" w:rsidR="00B714B7" w:rsidRPr="00EA1B6D" w:rsidRDefault="00B714B7" w:rsidP="004C3726">
            <w:pPr>
              <w:pStyle w:val="ListParagraph"/>
              <w:numPr>
                <w:ilvl w:val="0"/>
                <w:numId w:val="1"/>
              </w:numPr>
              <w:rPr>
                <w:b/>
              </w:rPr>
            </w:pPr>
            <w:r w:rsidRPr="00EA1B6D">
              <w:rPr>
                <w:b/>
              </w:rPr>
              <w:t>Single responses</w:t>
            </w:r>
            <w:r w:rsidR="00830B92">
              <w:rPr>
                <w:b/>
              </w:rPr>
              <w:t xml:space="preserve">: </w:t>
            </w:r>
            <w:r w:rsidR="00830B92">
              <w:t>Check that entries do not contain multiple responses.</w:t>
            </w:r>
          </w:p>
        </w:tc>
        <w:tc>
          <w:tcPr>
            <w:tcW w:w="1975" w:type="dxa"/>
          </w:tcPr>
          <w:p w14:paraId="44FB5444" w14:textId="77777777" w:rsidR="00C01C2B" w:rsidRDefault="00C01C2B"/>
        </w:tc>
      </w:tr>
      <w:tr w:rsidR="00B714B7" w14:paraId="27823EDC" w14:textId="77777777" w:rsidTr="00EA1B6D">
        <w:tc>
          <w:tcPr>
            <w:tcW w:w="7375" w:type="dxa"/>
          </w:tcPr>
          <w:p w14:paraId="3EB74ECB" w14:textId="77777777" w:rsidR="00B714B7" w:rsidRPr="00EA1B6D" w:rsidRDefault="00B714B7" w:rsidP="004C3726">
            <w:pPr>
              <w:pStyle w:val="ListParagraph"/>
              <w:numPr>
                <w:ilvl w:val="0"/>
                <w:numId w:val="1"/>
              </w:numPr>
              <w:rPr>
                <w:b/>
              </w:rPr>
            </w:pPr>
            <w:r w:rsidRPr="00EA1B6D">
              <w:rPr>
                <w:b/>
              </w:rPr>
              <w:t>Outliers</w:t>
            </w:r>
            <w:r w:rsidR="00830B92">
              <w:rPr>
                <w:b/>
              </w:rPr>
              <w:t xml:space="preserve">: </w:t>
            </w:r>
            <w:r w:rsidR="003C5259">
              <w:t>Perform rudimentary checks (i.e. filter or take max/min values in Excel) to look for any outlier values in the data. It is important to retain them in the dataset, unless they are clearly a clerical error, and equally vital to let the statistician know that they are abnormal so they can be accounted for in the analysis.</w:t>
            </w:r>
          </w:p>
        </w:tc>
        <w:tc>
          <w:tcPr>
            <w:tcW w:w="1975" w:type="dxa"/>
          </w:tcPr>
          <w:p w14:paraId="195686E8" w14:textId="77777777" w:rsidR="00B714B7" w:rsidRDefault="00B714B7"/>
        </w:tc>
      </w:tr>
      <w:tr w:rsidR="00EA1B6D" w14:paraId="50FA7C51" w14:textId="77777777" w:rsidTr="00EA1B6D">
        <w:tc>
          <w:tcPr>
            <w:tcW w:w="7375" w:type="dxa"/>
          </w:tcPr>
          <w:p w14:paraId="4AB249D3" w14:textId="77777777" w:rsidR="00EA1B6D" w:rsidRPr="00EA1B6D" w:rsidRDefault="00EA1B6D" w:rsidP="004C3726">
            <w:pPr>
              <w:pStyle w:val="ListParagraph"/>
              <w:numPr>
                <w:ilvl w:val="0"/>
                <w:numId w:val="1"/>
              </w:numPr>
              <w:rPr>
                <w:b/>
              </w:rPr>
            </w:pPr>
            <w:r>
              <w:rPr>
                <w:b/>
              </w:rPr>
              <w:t>Duplicates</w:t>
            </w:r>
            <w:r w:rsidR="003C5259">
              <w:rPr>
                <w:b/>
              </w:rPr>
              <w:t xml:space="preserve">: </w:t>
            </w:r>
            <w:r w:rsidR="003C5259">
              <w:t xml:space="preserve">Check that there are only unique entries in the dataset. </w:t>
            </w:r>
            <w:r w:rsidR="00A66178">
              <w:t>A simple check could be to</w:t>
            </w:r>
            <w:r w:rsidR="003C5259">
              <w:t xml:space="preserve"> utilize conditional formatting in Excel to highlight these duplicates for removal.</w:t>
            </w:r>
          </w:p>
        </w:tc>
        <w:tc>
          <w:tcPr>
            <w:tcW w:w="1975" w:type="dxa"/>
          </w:tcPr>
          <w:p w14:paraId="34C6FD91" w14:textId="77777777" w:rsidR="00EA1B6D" w:rsidRDefault="00EA1B6D"/>
        </w:tc>
      </w:tr>
      <w:tr w:rsidR="00EA1B6D" w14:paraId="0C27CBF0" w14:textId="77777777" w:rsidTr="00EA1B6D">
        <w:tc>
          <w:tcPr>
            <w:tcW w:w="7375" w:type="dxa"/>
          </w:tcPr>
          <w:p w14:paraId="348004B2" w14:textId="77777777" w:rsidR="00EA1B6D" w:rsidRPr="00EA1B6D" w:rsidRDefault="00EA1B6D" w:rsidP="004C3726">
            <w:pPr>
              <w:pStyle w:val="ListParagraph"/>
              <w:numPr>
                <w:ilvl w:val="0"/>
                <w:numId w:val="1"/>
              </w:numPr>
              <w:rPr>
                <w:b/>
              </w:rPr>
            </w:pPr>
            <w:r>
              <w:rPr>
                <w:b/>
              </w:rPr>
              <w:lastRenderedPageBreak/>
              <w:t>Missing data</w:t>
            </w:r>
            <w:r w:rsidR="003C5259">
              <w:rPr>
                <w:b/>
              </w:rPr>
              <w:t xml:space="preserve">: </w:t>
            </w:r>
            <w:r w:rsidR="003C5259">
              <w:t xml:space="preserve">Make sure that any blanks in the data are by </w:t>
            </w:r>
            <w:r w:rsidR="00A66178">
              <w:t>design and</w:t>
            </w:r>
            <w:r w:rsidR="003C5259">
              <w:t xml:space="preserve"> missing for a reason. It is important to leave missing data in the dataset as it provides context to the analysis. </w:t>
            </w:r>
          </w:p>
        </w:tc>
        <w:tc>
          <w:tcPr>
            <w:tcW w:w="1975" w:type="dxa"/>
          </w:tcPr>
          <w:p w14:paraId="2E40EF44" w14:textId="77777777" w:rsidR="00EA1B6D" w:rsidRDefault="00EA1B6D"/>
        </w:tc>
      </w:tr>
      <w:tr w:rsidR="00B714B7" w14:paraId="4E8C87D0" w14:textId="77777777" w:rsidTr="00EA1B6D">
        <w:tc>
          <w:tcPr>
            <w:tcW w:w="7375" w:type="dxa"/>
            <w:tcBorders>
              <w:bottom w:val="single" w:sz="12" w:space="0" w:color="auto"/>
            </w:tcBorders>
          </w:tcPr>
          <w:p w14:paraId="6DC76D8F" w14:textId="77777777" w:rsidR="00B714B7" w:rsidRPr="00EA1B6D" w:rsidRDefault="00B714B7" w:rsidP="00B714B7">
            <w:pPr>
              <w:rPr>
                <w:b/>
              </w:rPr>
            </w:pPr>
            <w:r w:rsidRPr="00EA1B6D">
              <w:rPr>
                <w:b/>
              </w:rPr>
              <w:t>Other Best Practices</w:t>
            </w:r>
          </w:p>
        </w:tc>
        <w:tc>
          <w:tcPr>
            <w:tcW w:w="1975" w:type="dxa"/>
            <w:tcBorders>
              <w:bottom w:val="single" w:sz="12" w:space="0" w:color="auto"/>
            </w:tcBorders>
          </w:tcPr>
          <w:p w14:paraId="16C2E9B5" w14:textId="77777777" w:rsidR="00B714B7" w:rsidRDefault="00B714B7"/>
        </w:tc>
      </w:tr>
      <w:tr w:rsidR="00B714B7" w14:paraId="277BD6EE" w14:textId="77777777" w:rsidTr="00EA1B6D">
        <w:tc>
          <w:tcPr>
            <w:tcW w:w="7375" w:type="dxa"/>
            <w:tcBorders>
              <w:top w:val="single" w:sz="12" w:space="0" w:color="auto"/>
            </w:tcBorders>
          </w:tcPr>
          <w:p w14:paraId="00432636" w14:textId="2AD61A8C" w:rsidR="00B714B7" w:rsidRPr="00EA1B6D" w:rsidRDefault="00B714B7" w:rsidP="004C3726">
            <w:pPr>
              <w:pStyle w:val="ListParagraph"/>
              <w:numPr>
                <w:ilvl w:val="0"/>
                <w:numId w:val="1"/>
              </w:numPr>
              <w:rPr>
                <w:b/>
              </w:rPr>
            </w:pPr>
            <w:r w:rsidRPr="00EA1B6D">
              <w:rPr>
                <w:b/>
              </w:rPr>
              <w:t>PHI</w:t>
            </w:r>
            <w:r w:rsidR="003C5259">
              <w:rPr>
                <w:b/>
              </w:rPr>
              <w:t xml:space="preserve">: </w:t>
            </w:r>
            <w:r w:rsidR="003177FE">
              <w:t xml:space="preserve">Remove PHI unnecessary to the analysis such as names. If you are not using </w:t>
            </w:r>
            <w:proofErr w:type="spellStart"/>
            <w:r w:rsidR="003177FE">
              <w:t>RedCap</w:t>
            </w:r>
            <w:proofErr w:type="spellEnd"/>
            <w:r w:rsidR="003177FE">
              <w:t>, and need to transmit data that contains PHI, we will work with you to perform a secure transfer.</w:t>
            </w:r>
            <w:r w:rsidR="003C5259">
              <w:t xml:space="preserve"> </w:t>
            </w:r>
          </w:p>
        </w:tc>
        <w:tc>
          <w:tcPr>
            <w:tcW w:w="1975" w:type="dxa"/>
            <w:tcBorders>
              <w:top w:val="single" w:sz="12" w:space="0" w:color="auto"/>
            </w:tcBorders>
          </w:tcPr>
          <w:p w14:paraId="2B1D8B75" w14:textId="77777777" w:rsidR="00B714B7" w:rsidRDefault="00B714B7"/>
        </w:tc>
      </w:tr>
      <w:tr w:rsidR="00B714B7" w14:paraId="298D4125" w14:textId="77777777" w:rsidTr="00EA1B6D">
        <w:tc>
          <w:tcPr>
            <w:tcW w:w="7375" w:type="dxa"/>
          </w:tcPr>
          <w:p w14:paraId="54F13F01" w14:textId="77777777" w:rsidR="00B714B7" w:rsidRPr="00EA1B6D" w:rsidRDefault="00B714B7" w:rsidP="004C3726">
            <w:pPr>
              <w:pStyle w:val="ListParagraph"/>
              <w:numPr>
                <w:ilvl w:val="0"/>
                <w:numId w:val="1"/>
              </w:numPr>
              <w:rPr>
                <w:b/>
              </w:rPr>
            </w:pPr>
            <w:r w:rsidRPr="00EA1B6D">
              <w:rPr>
                <w:b/>
              </w:rPr>
              <w:t>Highlighting</w:t>
            </w:r>
            <w:r w:rsidR="00EA1B6D" w:rsidRPr="00EA1B6D">
              <w:rPr>
                <w:b/>
              </w:rPr>
              <w:t>/Color</w:t>
            </w:r>
            <w:r w:rsidR="00830B92">
              <w:rPr>
                <w:b/>
              </w:rPr>
              <w:t>/Filtering</w:t>
            </w:r>
            <w:r w:rsidR="003C5259">
              <w:rPr>
                <w:b/>
              </w:rPr>
              <w:t xml:space="preserve"> (Excel): </w:t>
            </w:r>
            <w:r w:rsidR="003C5259">
              <w:t>Remove any filters and color coding on the data as statistical software is blind to them. If they were there to create groups or highlight other important characteristics, create a separate variable to encapsulate this information.</w:t>
            </w:r>
          </w:p>
        </w:tc>
        <w:tc>
          <w:tcPr>
            <w:tcW w:w="1975" w:type="dxa"/>
          </w:tcPr>
          <w:p w14:paraId="460ADB56" w14:textId="77777777" w:rsidR="00B714B7" w:rsidRDefault="00B714B7"/>
        </w:tc>
      </w:tr>
      <w:tr w:rsidR="00B714B7" w14:paraId="59296268" w14:textId="77777777" w:rsidTr="00EA1B6D">
        <w:tc>
          <w:tcPr>
            <w:tcW w:w="7375" w:type="dxa"/>
          </w:tcPr>
          <w:p w14:paraId="2B08E62F" w14:textId="77777777" w:rsidR="00B714B7" w:rsidRPr="00EA1B6D" w:rsidRDefault="00EA1B6D" w:rsidP="004C3726">
            <w:pPr>
              <w:pStyle w:val="ListParagraph"/>
              <w:numPr>
                <w:ilvl w:val="0"/>
                <w:numId w:val="1"/>
              </w:numPr>
              <w:rPr>
                <w:b/>
              </w:rPr>
            </w:pPr>
            <w:r w:rsidRPr="00EA1B6D">
              <w:rPr>
                <w:b/>
              </w:rPr>
              <w:t>Text Fields</w:t>
            </w:r>
            <w:r w:rsidR="003C5259">
              <w:rPr>
                <w:b/>
              </w:rPr>
              <w:t xml:space="preserve">: </w:t>
            </w:r>
            <w:r w:rsidR="003C5259">
              <w:t>Generally</w:t>
            </w:r>
            <w:r w:rsidR="00A66178">
              <w:t>,</w:t>
            </w:r>
            <w:r w:rsidR="003C5259">
              <w:t xml:space="preserve"> text fields are discouraged (especially long, free-form text) as they have a high probability of transcription errors and are difficult to analyze. Extract vital data from text fields and place in additional variables if possible. </w:t>
            </w:r>
          </w:p>
        </w:tc>
        <w:tc>
          <w:tcPr>
            <w:tcW w:w="1975" w:type="dxa"/>
          </w:tcPr>
          <w:p w14:paraId="0F736654" w14:textId="77777777" w:rsidR="00B714B7" w:rsidRDefault="00B714B7"/>
        </w:tc>
      </w:tr>
      <w:tr w:rsidR="00A66178" w14:paraId="1983EFC0" w14:textId="77777777" w:rsidTr="00EA1B6D">
        <w:tc>
          <w:tcPr>
            <w:tcW w:w="7375" w:type="dxa"/>
          </w:tcPr>
          <w:p w14:paraId="23B10AF9" w14:textId="77777777" w:rsidR="00A66178" w:rsidRPr="00EA1B6D" w:rsidRDefault="00A66178" w:rsidP="004C3726">
            <w:pPr>
              <w:pStyle w:val="ListParagraph"/>
              <w:numPr>
                <w:ilvl w:val="0"/>
                <w:numId w:val="1"/>
              </w:numPr>
              <w:rPr>
                <w:b/>
              </w:rPr>
            </w:pPr>
            <w:r>
              <w:rPr>
                <w:b/>
              </w:rPr>
              <w:t xml:space="preserve">Include an ID: </w:t>
            </w:r>
            <w:r>
              <w:t xml:space="preserve">Make sure each row has a unique identifier (often numeric). Multiple IDs may be necessary depending on the structure of your dataset. For instance, if there are multiple rows pertaining to lab measurements for a subject, there should be a subject and lab ID. </w:t>
            </w:r>
          </w:p>
        </w:tc>
        <w:tc>
          <w:tcPr>
            <w:tcW w:w="1975" w:type="dxa"/>
          </w:tcPr>
          <w:p w14:paraId="59FEA81B" w14:textId="77777777" w:rsidR="00A66178" w:rsidRDefault="00A66178"/>
        </w:tc>
      </w:tr>
      <w:tr w:rsidR="00A66178" w14:paraId="6B955598" w14:textId="77777777" w:rsidTr="00EA1B6D">
        <w:tc>
          <w:tcPr>
            <w:tcW w:w="7375" w:type="dxa"/>
          </w:tcPr>
          <w:p w14:paraId="7591475A" w14:textId="77777777" w:rsidR="00A66178" w:rsidRDefault="00A66178" w:rsidP="004C3726">
            <w:pPr>
              <w:pStyle w:val="ListParagraph"/>
              <w:numPr>
                <w:ilvl w:val="0"/>
                <w:numId w:val="1"/>
              </w:numPr>
              <w:rPr>
                <w:b/>
              </w:rPr>
            </w:pPr>
            <w:r>
              <w:rPr>
                <w:b/>
              </w:rPr>
              <w:t xml:space="preserve">Check Causal Pathways: </w:t>
            </w:r>
            <w:r>
              <w:t xml:space="preserve">If one variable relies on another, make sure the conditional logic is correct. For instance, if there is a lab value that would only be collected for females, make sure there are not </w:t>
            </w:r>
            <w:r w:rsidR="004C3726">
              <w:t xml:space="preserve">valid entries for males. </w:t>
            </w:r>
          </w:p>
        </w:tc>
        <w:tc>
          <w:tcPr>
            <w:tcW w:w="1975" w:type="dxa"/>
          </w:tcPr>
          <w:p w14:paraId="616B4726" w14:textId="77777777" w:rsidR="00A66178" w:rsidRDefault="00A66178"/>
        </w:tc>
      </w:tr>
      <w:tr w:rsidR="003177FE" w14:paraId="42D085EE" w14:textId="77777777" w:rsidTr="00EA1B6D">
        <w:tc>
          <w:tcPr>
            <w:tcW w:w="7375" w:type="dxa"/>
          </w:tcPr>
          <w:p w14:paraId="3CE4D5EA" w14:textId="6D7D183A" w:rsidR="003177FE" w:rsidRDefault="003177FE" w:rsidP="004C3726">
            <w:pPr>
              <w:pStyle w:val="ListParagraph"/>
              <w:numPr>
                <w:ilvl w:val="0"/>
                <w:numId w:val="1"/>
              </w:numPr>
              <w:rPr>
                <w:b/>
              </w:rPr>
            </w:pPr>
            <w:r>
              <w:rPr>
                <w:b/>
              </w:rPr>
              <w:t xml:space="preserve">Multiple Datasets: </w:t>
            </w:r>
            <w:r>
              <w:t>It is preferable to have one master dataset (e.g. one single Excel spreadsheet) so if possible, please consolidate. If it does not seem feasible to do so, or it is preferable to have separate datasets, please make sure to provide a “key” value/s that allows them to be tied together.</w:t>
            </w:r>
          </w:p>
        </w:tc>
        <w:tc>
          <w:tcPr>
            <w:tcW w:w="1975" w:type="dxa"/>
          </w:tcPr>
          <w:p w14:paraId="31EF4255" w14:textId="77777777" w:rsidR="003177FE" w:rsidRDefault="003177FE"/>
        </w:tc>
      </w:tr>
    </w:tbl>
    <w:p w14:paraId="5B018B6C" w14:textId="77777777" w:rsidR="00C01C2B" w:rsidRPr="00C01C2B" w:rsidRDefault="00C01C2B" w:rsidP="007D524E">
      <w:pPr>
        <w:jc w:val="center"/>
      </w:pPr>
    </w:p>
    <w:sectPr w:rsidR="00C01C2B" w:rsidRPr="00C01C2B" w:rsidSect="004C3726">
      <w:headerReference w:type="default" r:id="rId8"/>
      <w:footerReference w:type="default" r:id="rId9"/>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9AE906" w14:textId="77777777" w:rsidR="004C3AFE" w:rsidRDefault="004C3AFE" w:rsidP="008B260D">
      <w:pPr>
        <w:spacing w:after="0" w:line="240" w:lineRule="auto"/>
      </w:pPr>
      <w:r>
        <w:separator/>
      </w:r>
    </w:p>
  </w:endnote>
  <w:endnote w:type="continuationSeparator" w:id="0">
    <w:p w14:paraId="1C851C36" w14:textId="77777777" w:rsidR="004C3AFE" w:rsidRDefault="004C3AFE" w:rsidP="008B2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8DDA4A" w14:textId="0B340C34" w:rsidR="004C3726" w:rsidRDefault="004C3726">
    <w:pPr>
      <w:pStyle w:val="Footer"/>
    </w:pPr>
    <w:r>
      <w:rPr>
        <w:noProof/>
      </w:rPr>
      <w:drawing>
        <wp:anchor distT="0" distB="0" distL="114300" distR="114300" simplePos="0" relativeHeight="251665408" behindDoc="0" locked="0" layoutInCell="1" allowOverlap="1" wp14:anchorId="0FDEE02F" wp14:editId="744B33AD">
          <wp:simplePos x="0" y="0"/>
          <wp:positionH relativeFrom="column">
            <wp:posOffset>5114925</wp:posOffset>
          </wp:positionH>
          <wp:positionV relativeFrom="paragraph">
            <wp:posOffset>-257810</wp:posOffset>
          </wp:positionV>
          <wp:extent cx="1555668" cy="831272"/>
          <wp:effectExtent l="0" t="0" r="6985" b="6985"/>
          <wp:wrapNone/>
          <wp:docPr id="19" name="Graphic 19"/>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55668" cy="83127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2336" behindDoc="0" locked="0" layoutInCell="1" allowOverlap="1" wp14:anchorId="37CA5589" wp14:editId="66C4DA97">
              <wp:simplePos x="0" y="0"/>
              <wp:positionH relativeFrom="column">
                <wp:posOffset>-714375</wp:posOffset>
              </wp:positionH>
              <wp:positionV relativeFrom="paragraph">
                <wp:posOffset>-200660</wp:posOffset>
              </wp:positionV>
              <wp:extent cx="2047875" cy="72390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2047875" cy="723900"/>
                      </a:xfrm>
                      <a:prstGeom prst="rect">
                        <a:avLst/>
                      </a:prstGeom>
                      <a:solidFill>
                        <a:schemeClr val="accent4">
                          <a:lumMod val="60000"/>
                          <a:lumOff val="40000"/>
                        </a:schemeClr>
                      </a:solidFill>
                      <a:ln w="6350">
                        <a:noFill/>
                      </a:ln>
                    </wps:spPr>
                    <wps:txbx>
                      <w:txbxContent>
                        <w:p w14:paraId="6B103186" w14:textId="77777777" w:rsidR="004C3726" w:rsidRDefault="004C3726" w:rsidP="004C3726">
                          <w:pPr>
                            <w:spacing w:after="0"/>
                            <w:rPr>
                              <w:b/>
                            </w:rPr>
                          </w:pPr>
                          <w:r>
                            <w:rPr>
                              <w:b/>
                            </w:rPr>
                            <w:t>Cancer Center Biostatistics Core</w:t>
                          </w:r>
                        </w:p>
                        <w:p w14:paraId="0BBA239E" w14:textId="2902B96F" w:rsidR="004C3726" w:rsidRPr="004C3726" w:rsidRDefault="004C3726" w:rsidP="004C3726">
                          <w:pPr>
                            <w:spacing w:after="0"/>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CA5589" id="_x0000_t202" coordsize="21600,21600" o:spt="202" path="m,l,21600r21600,l21600,xe">
              <v:stroke joinstyle="miter"/>
              <v:path gradientshapeok="t" o:connecttype="rect"/>
            </v:shapetype>
            <v:shape id="Text Box 14" o:spid="_x0000_s1027" type="#_x0000_t202" style="position:absolute;margin-left:-56.25pt;margin-top:-15.8pt;width:161.25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" fillcolor="#ffd966 [1943]" stroked="f" strokeweight=".5pt">
              <v:textbox>
                <w:txbxContent>
                  <w:p w14:paraId="6B103186" w14:textId="77777777" w:rsidR="004C3726" w:rsidRDefault="004C3726" w:rsidP="004C3726">
                    <w:pPr>
                      <w:spacing w:after="0"/>
                      <w:rPr>
                        <w:b/>
                      </w:rPr>
                    </w:pPr>
                    <w:r>
                      <w:rPr>
                        <w:b/>
                      </w:rPr>
                      <w:t>Cancer Center Biostatistics Core</w:t>
                    </w:r>
                  </w:p>
                  <w:p w14:paraId="0BBA239E" w14:textId="2902B96F" w:rsidR="004C3726" w:rsidRPr="004C3726" w:rsidRDefault="004C3726" w:rsidP="004C3726">
                    <w:pPr>
                      <w:spacing w:after="0"/>
                      <w:rPr>
                        <w:sz w:val="18"/>
                      </w:rPr>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2D27D29" wp14:editId="60183F92">
              <wp:simplePos x="0" y="0"/>
              <wp:positionH relativeFrom="column">
                <wp:posOffset>-904875</wp:posOffset>
              </wp:positionH>
              <wp:positionV relativeFrom="paragraph">
                <wp:posOffset>-295910</wp:posOffset>
              </wp:positionV>
              <wp:extent cx="7753350" cy="923925"/>
              <wp:effectExtent l="0" t="0" r="19050" b="28575"/>
              <wp:wrapNone/>
              <wp:docPr id="12" name="Rectangle 12"/>
              <wp:cNvGraphicFramePr/>
              <a:graphic xmlns:a="http://schemas.openxmlformats.org/drawingml/2006/main">
                <a:graphicData uri="http://schemas.microsoft.com/office/word/2010/wordprocessingShape">
                  <wps:wsp>
                    <wps:cNvSpPr/>
                    <wps:spPr>
                      <a:xfrm>
                        <a:off x="0" y="0"/>
                        <a:ext cx="7753350" cy="923925"/>
                      </a:xfrm>
                      <a:prstGeom prst="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1D43E8" id="Rectangle 12" o:spid="_x0000_s1026" style="position:absolute;margin-left:-71.25pt;margin-top:-23.3pt;width:610.5pt;height:7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" fillcolor="#ffd966 [1943]" strokecolor="#1f3763 [1604]"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C46AA9" w14:textId="77777777" w:rsidR="004C3AFE" w:rsidRDefault="004C3AFE" w:rsidP="008B260D">
      <w:pPr>
        <w:spacing w:after="0" w:line="240" w:lineRule="auto"/>
      </w:pPr>
      <w:r>
        <w:separator/>
      </w:r>
    </w:p>
  </w:footnote>
  <w:footnote w:type="continuationSeparator" w:id="0">
    <w:p w14:paraId="12F2CD43" w14:textId="77777777" w:rsidR="004C3AFE" w:rsidRDefault="004C3AFE" w:rsidP="008B26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9CF68C" w14:textId="77777777" w:rsidR="008B260D" w:rsidRPr="008B260D" w:rsidRDefault="003C5259">
    <w:pPr>
      <w:pStyle w:val="Header"/>
      <w:rPr>
        <w:sz w:val="24"/>
      </w:rPr>
    </w:pPr>
    <w:r>
      <w:rPr>
        <w:noProof/>
      </w:rPr>
      <mc:AlternateContent>
        <mc:Choice Requires="wps">
          <w:drawing>
            <wp:anchor distT="0" distB="0" distL="114300" distR="114300" simplePos="0" relativeHeight="251660288" behindDoc="1" locked="0" layoutInCell="1" allowOverlap="1" wp14:anchorId="45DD1BE9" wp14:editId="4E849595">
              <wp:simplePos x="0" y="0"/>
              <wp:positionH relativeFrom="column">
                <wp:posOffset>-904875</wp:posOffset>
              </wp:positionH>
              <wp:positionV relativeFrom="paragraph">
                <wp:posOffset>-81915</wp:posOffset>
              </wp:positionV>
              <wp:extent cx="7753350" cy="8286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7753350" cy="828675"/>
                      </a:xfrm>
                      <a:prstGeom prst="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2B11908" id="Rectangle 10" o:spid="_x0000_s1026" style="position:absolute;margin-left:-71.25pt;margin-top:-6.45pt;width:610.5pt;height:65.2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" fillcolor="#acb9ca [1311]" strokecolor="#1f3763 [1604]" strokeweight="1pt"/>
          </w:pict>
        </mc:Fallback>
      </mc:AlternateContent>
    </w:r>
    <w:r w:rsidR="008B260D">
      <w:rPr>
        <w:noProof/>
      </w:rPr>
      <mc:AlternateContent>
        <mc:Choice Requires="wps">
          <w:drawing>
            <wp:anchor distT="0" distB="0" distL="114300" distR="114300" simplePos="0" relativeHeight="251659264" behindDoc="0" locked="0" layoutInCell="1" allowOverlap="1" wp14:anchorId="4F6B4A19" wp14:editId="62067A2C">
              <wp:simplePos x="0" y="0"/>
              <wp:positionH relativeFrom="column">
                <wp:posOffset>942340</wp:posOffset>
              </wp:positionH>
              <wp:positionV relativeFrom="paragraph">
                <wp:posOffset>184785</wp:posOffset>
              </wp:positionV>
              <wp:extent cx="5095875" cy="35242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5095875" cy="352425"/>
                      </a:xfrm>
                      <a:prstGeom prst="rect">
                        <a:avLst/>
                      </a:prstGeom>
                      <a:solidFill>
                        <a:schemeClr val="tx2">
                          <a:lumMod val="40000"/>
                          <a:lumOff val="60000"/>
                        </a:schemeClr>
                      </a:solidFill>
                      <a:ln w="6350">
                        <a:noFill/>
                      </a:ln>
                    </wps:spPr>
                    <wps:txbx>
                      <w:txbxContent>
                        <w:p w14:paraId="1D4BAE4B" w14:textId="77777777" w:rsidR="008B260D" w:rsidRPr="008B260D" w:rsidRDefault="008B260D">
                          <w:pPr>
                            <w:rPr>
                              <w:sz w:val="28"/>
                            </w:rPr>
                          </w:pPr>
                          <w:r w:rsidRPr="008B260D">
                            <w:rPr>
                              <w:sz w:val="32"/>
                            </w:rPr>
                            <w:t>University of Colorado Cancer Center Biostatistics 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74.2pt;margin-top:14.55pt;width:401.2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" fillcolor="#acb9ca [1311]" stroked="f" strokeweight=".5pt">
              <v:textbox>
                <w:txbxContent>
                  <w:p w:rsidR="008B260D" w:rsidRPr="008B260D" w:rsidRDefault="008B260D">
                    <w:pPr>
                      <w:rPr>
                        <w:sz w:val="28"/>
                      </w:rPr>
                    </w:pPr>
                    <w:r w:rsidRPr="008B260D">
                      <w:rPr>
                        <w:sz w:val="32"/>
                      </w:rPr>
                      <w:t>University of Colorado Cancer Center Biostatistics Core</w:t>
                    </w:r>
                  </w:p>
                </w:txbxContent>
              </v:textbox>
            </v:shape>
          </w:pict>
        </mc:Fallback>
      </mc:AlternateContent>
    </w:r>
    <w:r w:rsidR="008B260D">
      <w:rPr>
        <w:noProof/>
      </w:rPr>
      <w:drawing>
        <wp:inline distT="0" distB="0" distL="0" distR="0" wp14:anchorId="2D89C2B3" wp14:editId="18FF2944">
          <wp:extent cx="943107" cy="74305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U.png"/>
                  <pic:cNvPicPr/>
                </pic:nvPicPr>
                <pic:blipFill>
                  <a:blip r:embed="rId1">
                    <a:extLst>
                      <a:ext uri="{28A0092B-C50C-407E-A947-70E740481C1C}">
                        <a14:useLocalDpi xmlns:a14="http://schemas.microsoft.com/office/drawing/2010/main" val="0"/>
                      </a:ext>
                    </a:extLst>
                  </a:blip>
                  <a:stretch>
                    <a:fillRect/>
                  </a:stretch>
                </pic:blipFill>
                <pic:spPr>
                  <a:xfrm>
                    <a:off x="0" y="0"/>
                    <a:ext cx="943107" cy="74305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383C2A"/>
    <w:multiLevelType w:val="hybridMultilevel"/>
    <w:tmpl w:val="12883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3F46D9"/>
    <w:multiLevelType w:val="hybridMultilevel"/>
    <w:tmpl w:val="E70EC0A2"/>
    <w:lvl w:ilvl="0" w:tplc="14CC565E">
      <w:start w:val="3"/>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4733FA1"/>
    <w:multiLevelType w:val="hybridMultilevel"/>
    <w:tmpl w:val="5E08DB90"/>
    <w:lvl w:ilvl="0" w:tplc="B43014C6">
      <w:start w:val="3"/>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BCD3520"/>
    <w:multiLevelType w:val="hybridMultilevel"/>
    <w:tmpl w:val="84567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144168">
    <w:abstractNumId w:val="0"/>
  </w:num>
  <w:num w:numId="2" w16cid:durableId="1353337577">
    <w:abstractNumId w:val="3"/>
  </w:num>
  <w:num w:numId="3" w16cid:durableId="1742677685">
    <w:abstractNumId w:val="1"/>
  </w:num>
  <w:num w:numId="4" w16cid:durableId="115417718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0D"/>
    <w:rsid w:val="00066875"/>
    <w:rsid w:val="001214DB"/>
    <w:rsid w:val="00302AAE"/>
    <w:rsid w:val="003177FE"/>
    <w:rsid w:val="00322326"/>
    <w:rsid w:val="003C5259"/>
    <w:rsid w:val="00451E4C"/>
    <w:rsid w:val="004C3726"/>
    <w:rsid w:val="004C3AFE"/>
    <w:rsid w:val="004C4ED8"/>
    <w:rsid w:val="005F3F36"/>
    <w:rsid w:val="007B55D8"/>
    <w:rsid w:val="007D524E"/>
    <w:rsid w:val="00830B92"/>
    <w:rsid w:val="00897302"/>
    <w:rsid w:val="008B260D"/>
    <w:rsid w:val="00A66178"/>
    <w:rsid w:val="00B142E3"/>
    <w:rsid w:val="00B714B7"/>
    <w:rsid w:val="00C01C2B"/>
    <w:rsid w:val="00C3553F"/>
    <w:rsid w:val="00E13E02"/>
    <w:rsid w:val="00EA1B6D"/>
    <w:rsid w:val="00EA269B"/>
    <w:rsid w:val="00F87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41E71"/>
  <w15:chartTrackingRefBased/>
  <w15:docId w15:val="{F3F35B3C-AF8F-4ADC-9BC6-C10EDD7BD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26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260D"/>
  </w:style>
  <w:style w:type="paragraph" w:styleId="Footer">
    <w:name w:val="footer"/>
    <w:basedOn w:val="Normal"/>
    <w:link w:val="FooterChar"/>
    <w:uiPriority w:val="99"/>
    <w:unhideWhenUsed/>
    <w:rsid w:val="008B26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260D"/>
  </w:style>
  <w:style w:type="paragraph" w:styleId="BalloonText">
    <w:name w:val="Balloon Text"/>
    <w:basedOn w:val="Normal"/>
    <w:link w:val="BalloonTextChar"/>
    <w:uiPriority w:val="99"/>
    <w:semiHidden/>
    <w:unhideWhenUsed/>
    <w:rsid w:val="008B2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60D"/>
    <w:rPr>
      <w:rFonts w:ascii="Segoe UI" w:hAnsi="Segoe UI" w:cs="Segoe UI"/>
      <w:sz w:val="18"/>
      <w:szCs w:val="18"/>
    </w:rPr>
  </w:style>
  <w:style w:type="table" w:styleId="TableGrid">
    <w:name w:val="Table Grid"/>
    <w:basedOn w:val="TableNormal"/>
    <w:uiPriority w:val="39"/>
    <w:rsid w:val="00C01C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1E4C"/>
    <w:pPr>
      <w:ind w:left="720"/>
      <w:contextualSpacing/>
    </w:pPr>
  </w:style>
  <w:style w:type="character" w:styleId="Hyperlink">
    <w:name w:val="Hyperlink"/>
    <w:basedOn w:val="DefaultParagraphFont"/>
    <w:uiPriority w:val="99"/>
    <w:unhideWhenUsed/>
    <w:rsid w:val="004C3726"/>
    <w:rPr>
      <w:color w:val="0563C1" w:themeColor="hyperlink"/>
      <w:u w:val="single"/>
    </w:rPr>
  </w:style>
  <w:style w:type="character" w:styleId="UnresolvedMention">
    <w:name w:val="Unresolved Mention"/>
    <w:basedOn w:val="DefaultParagraphFont"/>
    <w:uiPriority w:val="99"/>
    <w:semiHidden/>
    <w:unhideWhenUsed/>
    <w:rsid w:val="004C3726"/>
    <w:rPr>
      <w:color w:val="605E5C"/>
      <w:shd w:val="clear" w:color="auto" w:fill="E1DFDD"/>
    </w:rPr>
  </w:style>
  <w:style w:type="character" w:styleId="CommentReference">
    <w:name w:val="annotation reference"/>
    <w:basedOn w:val="DefaultParagraphFont"/>
    <w:uiPriority w:val="99"/>
    <w:semiHidden/>
    <w:unhideWhenUsed/>
    <w:rsid w:val="007D524E"/>
    <w:rPr>
      <w:sz w:val="16"/>
      <w:szCs w:val="16"/>
    </w:rPr>
  </w:style>
  <w:style w:type="paragraph" w:styleId="CommentText">
    <w:name w:val="annotation text"/>
    <w:basedOn w:val="Normal"/>
    <w:link w:val="CommentTextChar"/>
    <w:uiPriority w:val="99"/>
    <w:semiHidden/>
    <w:unhideWhenUsed/>
    <w:rsid w:val="007D524E"/>
    <w:pPr>
      <w:spacing w:line="240" w:lineRule="auto"/>
    </w:pPr>
    <w:rPr>
      <w:sz w:val="20"/>
      <w:szCs w:val="20"/>
    </w:rPr>
  </w:style>
  <w:style w:type="character" w:customStyle="1" w:styleId="CommentTextChar">
    <w:name w:val="Comment Text Char"/>
    <w:basedOn w:val="DefaultParagraphFont"/>
    <w:link w:val="CommentText"/>
    <w:uiPriority w:val="99"/>
    <w:semiHidden/>
    <w:rsid w:val="007D524E"/>
    <w:rPr>
      <w:sz w:val="20"/>
      <w:szCs w:val="20"/>
    </w:rPr>
  </w:style>
  <w:style w:type="paragraph" w:styleId="CommentSubject">
    <w:name w:val="annotation subject"/>
    <w:basedOn w:val="CommentText"/>
    <w:next w:val="CommentText"/>
    <w:link w:val="CommentSubjectChar"/>
    <w:uiPriority w:val="99"/>
    <w:semiHidden/>
    <w:unhideWhenUsed/>
    <w:rsid w:val="007D524E"/>
    <w:rPr>
      <w:b/>
      <w:bCs/>
    </w:rPr>
  </w:style>
  <w:style w:type="character" w:customStyle="1" w:styleId="CommentSubjectChar">
    <w:name w:val="Comment Subject Char"/>
    <w:basedOn w:val="CommentTextChar"/>
    <w:link w:val="CommentSubject"/>
    <w:uiPriority w:val="99"/>
    <w:semiHidden/>
    <w:rsid w:val="007D52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81A18-6ECD-4B21-B7FC-DF355764A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Nicklawsky, Andrew</dc:creator>
  <cp:keywords/>
  <dc:description/>
  <cp:lastModifiedBy>Mara Kalinoski</cp:lastModifiedBy>
  <cp:revision>2</cp:revision>
  <dcterms:created xsi:type="dcterms:W3CDTF">2026-10-23T19:24:00Z</dcterms:created>
  <dcterms:modified xsi:type="dcterms:W3CDTF">2026-10-23T19:24:00Z</dcterms:modified>
</cp:coreProperties>
</file>