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4B" w:rsidRPr="00E627EB" w:rsidRDefault="00E627EB" w:rsidP="00E627EB">
      <w:pPr>
        <w:jc w:val="center"/>
        <w:rPr>
          <w:b/>
          <w:u w:val="single"/>
        </w:rPr>
      </w:pPr>
      <w:bookmarkStart w:id="0" w:name="_GoBack"/>
      <w:bookmarkEnd w:id="0"/>
      <w:r w:rsidRPr="00E627EB">
        <w:rPr>
          <w:b/>
          <w:u w:val="single"/>
        </w:rPr>
        <w:t>The National Institutes of Health Grants Policy Statement (NIHGPS)</w:t>
      </w:r>
    </w:p>
    <w:p w:rsidR="00E627EB" w:rsidRDefault="00E627EB" w:rsidP="00E627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296"/>
        <w:gridCol w:w="1312"/>
        <w:gridCol w:w="5485"/>
      </w:tblGrid>
      <w:tr w:rsidR="00E627EB" w:rsidTr="00E627EB">
        <w:tc>
          <w:tcPr>
            <w:tcW w:w="2697" w:type="dxa"/>
            <w:shd w:val="clear" w:color="auto" w:fill="CFB87C"/>
          </w:tcPr>
          <w:p w:rsidR="00E627EB" w:rsidRPr="00E627EB" w:rsidRDefault="00E627EB" w:rsidP="00E627EB">
            <w:pPr>
              <w:jc w:val="center"/>
              <w:rPr>
                <w:b/>
              </w:rPr>
            </w:pPr>
            <w:r w:rsidRPr="00E627EB">
              <w:rPr>
                <w:b/>
              </w:rPr>
              <w:t>Section</w:t>
            </w:r>
          </w:p>
        </w:tc>
        <w:tc>
          <w:tcPr>
            <w:tcW w:w="1296" w:type="dxa"/>
            <w:shd w:val="clear" w:color="auto" w:fill="CFB87C"/>
          </w:tcPr>
          <w:p w:rsidR="00E627EB" w:rsidRPr="00E627EB" w:rsidRDefault="00E627EB" w:rsidP="00E627EB">
            <w:pPr>
              <w:jc w:val="center"/>
              <w:rPr>
                <w:b/>
              </w:rPr>
            </w:pPr>
            <w:r w:rsidRPr="00E627EB">
              <w:rPr>
                <w:b/>
              </w:rPr>
              <w:t>Page (NIHGPS)</w:t>
            </w:r>
          </w:p>
        </w:tc>
        <w:tc>
          <w:tcPr>
            <w:tcW w:w="1312" w:type="dxa"/>
            <w:shd w:val="clear" w:color="auto" w:fill="CFB87C"/>
          </w:tcPr>
          <w:p w:rsidR="00E627EB" w:rsidRPr="00E627EB" w:rsidRDefault="00E627EB" w:rsidP="00E627EB">
            <w:pPr>
              <w:jc w:val="center"/>
              <w:rPr>
                <w:b/>
              </w:rPr>
            </w:pPr>
            <w:r w:rsidRPr="00E627EB">
              <w:rPr>
                <w:b/>
              </w:rPr>
              <w:t>Page (PDF)</w:t>
            </w:r>
          </w:p>
        </w:tc>
        <w:tc>
          <w:tcPr>
            <w:tcW w:w="5485" w:type="dxa"/>
            <w:shd w:val="clear" w:color="auto" w:fill="CFB87C"/>
          </w:tcPr>
          <w:p w:rsidR="00E627EB" w:rsidRPr="00E627EB" w:rsidRDefault="00E627EB" w:rsidP="00E627EB">
            <w:pPr>
              <w:jc w:val="center"/>
              <w:rPr>
                <w:b/>
              </w:rPr>
            </w:pPr>
            <w:r w:rsidRPr="00E627EB">
              <w:rPr>
                <w:b/>
              </w:rPr>
              <w:t>Notes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Introduction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2</w:t>
            </w:r>
          </w:p>
        </w:tc>
        <w:tc>
          <w:tcPr>
            <w:tcW w:w="5485" w:type="dxa"/>
          </w:tcPr>
          <w:p w:rsidR="00E627EB" w:rsidRDefault="00E627EB" w:rsidP="00E627EB"/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1.1 Abbreviations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I-1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18</w:t>
            </w:r>
          </w:p>
        </w:tc>
        <w:tc>
          <w:tcPr>
            <w:tcW w:w="5485" w:type="dxa"/>
          </w:tcPr>
          <w:p w:rsidR="00E627EB" w:rsidRDefault="00E627EB" w:rsidP="00E627EB">
            <w:r>
              <w:t>Acronyms used in the NIHGPS and for awards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1.2 Definitions of Terms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I-7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24</w:t>
            </w:r>
          </w:p>
        </w:tc>
        <w:tc>
          <w:tcPr>
            <w:tcW w:w="5485" w:type="dxa"/>
          </w:tcPr>
          <w:p w:rsidR="00E627EB" w:rsidRDefault="00E627EB" w:rsidP="00E627EB">
            <w:r>
              <w:t>Definitions for terms used in the NIHGPS and for awards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2.2 ERA Commons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I-43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60</w:t>
            </w:r>
          </w:p>
        </w:tc>
        <w:tc>
          <w:tcPr>
            <w:tcW w:w="5485" w:type="dxa"/>
          </w:tcPr>
          <w:p w:rsidR="00E627EB" w:rsidRDefault="00E627EB" w:rsidP="00E627EB">
            <w:r>
              <w:t xml:space="preserve">Description of the NIH </w:t>
            </w:r>
            <w:proofErr w:type="spellStart"/>
            <w:r>
              <w:t>eRA</w:t>
            </w:r>
            <w:proofErr w:type="spellEnd"/>
            <w:r>
              <w:t xml:space="preserve"> Commons and registration requirements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2.3.1 Support Mechanisms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I-45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62</w:t>
            </w:r>
          </w:p>
        </w:tc>
        <w:tc>
          <w:tcPr>
            <w:tcW w:w="5485" w:type="dxa"/>
          </w:tcPr>
          <w:p w:rsidR="00E627EB" w:rsidRDefault="00E627EB" w:rsidP="00E627EB">
            <w:r>
              <w:t>Link to all NIH activity codes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2.3.4 Types of Applications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I-46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63</w:t>
            </w:r>
          </w:p>
        </w:tc>
        <w:tc>
          <w:tcPr>
            <w:tcW w:w="5485" w:type="dxa"/>
          </w:tcPr>
          <w:p w:rsidR="00E627EB" w:rsidRDefault="00E627EB" w:rsidP="00E627EB">
            <w:r>
              <w:t>Description of the different types of NIH applications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2.3.5 Types of Funding Opportunity Announcements (FOAs)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I-47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64</w:t>
            </w:r>
          </w:p>
        </w:tc>
        <w:tc>
          <w:tcPr>
            <w:tcW w:w="5485" w:type="dxa"/>
          </w:tcPr>
          <w:p w:rsidR="00E627EB" w:rsidRDefault="00E627EB" w:rsidP="00E627EB">
            <w:r>
              <w:t>Description of the different types of NIH FOAs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2.3.7 Policies Affecting Applications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I-49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66</w:t>
            </w:r>
          </w:p>
        </w:tc>
        <w:tc>
          <w:tcPr>
            <w:tcW w:w="5485" w:type="dxa"/>
          </w:tcPr>
          <w:p w:rsidR="00E627EB" w:rsidRDefault="00E627EB" w:rsidP="00E627EB">
            <w:r>
              <w:t>Details requirements for specific situations: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2"/>
              </w:numPr>
            </w:pPr>
            <w:r>
              <w:t>2.3.7.1 Applications that Include Consortium/Contractual F&amp;A Costs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2"/>
              </w:numPr>
            </w:pPr>
            <w:r>
              <w:t>2.3.7.2 Acceptance for Review of Unsolicited Applications Requesting $500,000 or More in Direct Costs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2"/>
              </w:numPr>
            </w:pPr>
            <w:r>
              <w:t>2.3.7.3 Resubmission of Unfunded RFA Applications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2"/>
              </w:numPr>
            </w:pPr>
            <w:r>
              <w:t>2.3.7.4 Submission of Resubmission Application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2"/>
              </w:numPr>
            </w:pPr>
            <w:r>
              <w:t>2.3.7.5 New Investigators and Early State Investigators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2"/>
              </w:numPr>
            </w:pPr>
            <w:r>
              <w:t>2.3.76 PD/PI, Individual Fellowship, and Sponsor Assurance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2"/>
              </w:numPr>
            </w:pPr>
            <w:r>
              <w:t>2.3.7.7 Post-Submission Grant Application Materials (page I-52/ PDF 69)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2"/>
              </w:numPr>
            </w:pPr>
            <w:r>
              <w:t xml:space="preserve">2.3.7.8 DUNS Number and SAM Registration Requirements 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2"/>
              </w:numPr>
            </w:pPr>
            <w:r>
              <w:t>2.3.7.9 Graduate Student Compensation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2"/>
              </w:numPr>
            </w:pPr>
            <w:r>
              <w:t>2.3.7.10 NIH Genomic Data Sharing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2.3.9 Application Receipt Information and Deadlines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I-59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76</w:t>
            </w:r>
          </w:p>
        </w:tc>
        <w:tc>
          <w:tcPr>
            <w:tcW w:w="5485" w:type="dxa"/>
          </w:tcPr>
          <w:p w:rsidR="00E627EB" w:rsidRDefault="00E627EB" w:rsidP="00E627EB">
            <w:pPr>
              <w:pStyle w:val="ListParagraph"/>
              <w:numPr>
                <w:ilvl w:val="0"/>
                <w:numId w:val="3"/>
              </w:numPr>
            </w:pPr>
            <w:r>
              <w:t>Discusses standard due dates and unique application deadlines. A link is provided to the NIH standard due dates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3"/>
              </w:numPr>
            </w:pPr>
            <w:r>
              <w:t xml:space="preserve">Review 2.3.9.5 for Application Non-conformity (I-62/PDF 79) 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2.3.10 Fraud, Waste, and Abuse of NIH Grant Funds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I-63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80</w:t>
            </w:r>
          </w:p>
        </w:tc>
        <w:tc>
          <w:tcPr>
            <w:tcW w:w="5485" w:type="dxa"/>
          </w:tcPr>
          <w:p w:rsidR="00E627EB" w:rsidRDefault="00E627EB" w:rsidP="00E627EB">
            <w:r>
              <w:t xml:space="preserve">Provides examples of waste, fraud, and abuse and identifies civil and criminal statutes. 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2.4 The Peer Review Process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I-67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84</w:t>
            </w:r>
          </w:p>
        </w:tc>
        <w:tc>
          <w:tcPr>
            <w:tcW w:w="5485" w:type="dxa"/>
          </w:tcPr>
          <w:p w:rsidR="00E627EB" w:rsidRDefault="00E627EB" w:rsidP="00E627EB">
            <w:r>
              <w:t xml:space="preserve">Details the review process of NIH awards. 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2.5.1 Just-in-Time Procedures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I-73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90</w:t>
            </w:r>
          </w:p>
        </w:tc>
        <w:tc>
          <w:tcPr>
            <w:tcW w:w="5485" w:type="dxa"/>
          </w:tcPr>
          <w:p w:rsidR="00E627EB" w:rsidRDefault="00E627EB" w:rsidP="00E627EB">
            <w:r>
              <w:t xml:space="preserve">Discusses the JIT process and a link is provided for University procedures. 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lastRenderedPageBreak/>
              <w:t>3 Overview of Terms and Conditions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IIA-1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96</w:t>
            </w:r>
          </w:p>
        </w:tc>
        <w:tc>
          <w:tcPr>
            <w:tcW w:w="5485" w:type="dxa"/>
          </w:tcPr>
          <w:p w:rsidR="00E627EB" w:rsidRDefault="00E627EB" w:rsidP="00E627EB">
            <w:r>
              <w:t xml:space="preserve">Identifies standard award requirements 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4.1 Public Policy Requirements and Objectives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IIA-3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98</w:t>
            </w:r>
          </w:p>
        </w:tc>
        <w:tc>
          <w:tcPr>
            <w:tcW w:w="5485" w:type="dxa"/>
          </w:tcPr>
          <w:p w:rsidR="00E627EB" w:rsidRDefault="00E627EB" w:rsidP="00E627EB">
            <w:r>
              <w:t>Identifies and explains public policy requirements, objectives, and appropriation mandates applicable to NIH awards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4.2 Appropriation Mandates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IIA-51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146</w:t>
            </w:r>
          </w:p>
        </w:tc>
        <w:tc>
          <w:tcPr>
            <w:tcW w:w="5485" w:type="dxa"/>
          </w:tcPr>
          <w:p w:rsidR="00E627EB" w:rsidRDefault="00E627EB" w:rsidP="00E627EB">
            <w:r>
              <w:t>Identifies Congressionally mandated  requirements for NIH, including the salary cap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5 The Notice of Award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IIA-55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150</w:t>
            </w:r>
          </w:p>
        </w:tc>
        <w:tc>
          <w:tcPr>
            <w:tcW w:w="5485" w:type="dxa"/>
          </w:tcPr>
          <w:p w:rsidR="00E627EB" w:rsidRDefault="00E627EB" w:rsidP="00E627EB">
            <w:r>
              <w:t>Identifies and explains provisions within the Notice of Award (NOA)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 xml:space="preserve">7.2 The Cost Principles 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IIA-61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156</w:t>
            </w:r>
          </w:p>
        </w:tc>
        <w:tc>
          <w:tcPr>
            <w:tcW w:w="5485" w:type="dxa"/>
          </w:tcPr>
          <w:p w:rsidR="00E627EB" w:rsidRDefault="00E627EB" w:rsidP="00E627EB">
            <w:r>
              <w:t>Identifies the applicable set of cost principles and explains the allowability of costs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7.5 Cost Transfers, Overruns, and Accelerated and Delayed Expenditures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IIA-66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161</w:t>
            </w:r>
          </w:p>
        </w:tc>
        <w:tc>
          <w:tcPr>
            <w:tcW w:w="5485" w:type="dxa"/>
          </w:tcPr>
          <w:p w:rsidR="00E627EB" w:rsidRDefault="00E627EB" w:rsidP="00E627EB">
            <w:r>
              <w:t>Identifies requirements for cost transfers. A link is provided for the University’s procedures.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7.6 Allocation of Costs and Closely Related Work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IIA-67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162</w:t>
            </w:r>
          </w:p>
        </w:tc>
        <w:tc>
          <w:tcPr>
            <w:tcW w:w="5485" w:type="dxa"/>
          </w:tcPr>
          <w:p w:rsidR="00E627EB" w:rsidRDefault="00E627EB" w:rsidP="00E627EB">
            <w:r>
              <w:t>Explains the proportional benefit rule of allocating costs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7.9.1 Selected Items of Cost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IIA-68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163</w:t>
            </w:r>
          </w:p>
        </w:tc>
        <w:tc>
          <w:tcPr>
            <w:tcW w:w="5485" w:type="dxa"/>
          </w:tcPr>
          <w:p w:rsidR="00E627EB" w:rsidRDefault="00E627EB" w:rsidP="00E627EB">
            <w:r>
              <w:t>Provides NIH-specific selected items of costs and explains the allowability of each item of cost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8.1.1 NIH Standard Terms of Award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IIA-97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192</w:t>
            </w:r>
          </w:p>
        </w:tc>
        <w:tc>
          <w:tcPr>
            <w:tcW w:w="5485" w:type="dxa"/>
          </w:tcPr>
          <w:p w:rsidR="00E627EB" w:rsidRDefault="00E627EB" w:rsidP="00E627EB">
            <w:r>
              <w:t>This section provides an explanation of standard terms and conditions for NIH Awards, including: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4"/>
              </w:numPr>
            </w:pPr>
            <w:r>
              <w:t>The applicability and extent of carry over funds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4"/>
              </w:numPr>
            </w:pPr>
            <w:r>
              <w:t>Cost-related prior approvals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4"/>
              </w:numPr>
            </w:pPr>
            <w:r>
              <w:t>No-cost extensions</w:t>
            </w:r>
          </w:p>
          <w:p w:rsidR="00E627EB" w:rsidRDefault="00E627EB" w:rsidP="00E627EB">
            <w:pPr>
              <w:pStyle w:val="ListParagraph"/>
              <w:numPr>
                <w:ilvl w:val="0"/>
                <w:numId w:val="4"/>
              </w:numPr>
            </w:pPr>
            <w:r>
              <w:t>Direct charging salaries of administrative and clerical staff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8.1.2 Prior Approval Requirements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IIA-101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196</w:t>
            </w:r>
          </w:p>
        </w:tc>
        <w:tc>
          <w:tcPr>
            <w:tcW w:w="5485" w:type="dxa"/>
          </w:tcPr>
          <w:p w:rsidR="00E627EB" w:rsidRDefault="00E627EB" w:rsidP="00E627EB">
            <w:r>
              <w:t>Identifies the situations requiring NIH prior approval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8.1.2.5 Change in Scope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IIA-104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199</w:t>
            </w:r>
          </w:p>
        </w:tc>
        <w:tc>
          <w:tcPr>
            <w:tcW w:w="5485" w:type="dxa"/>
          </w:tcPr>
          <w:p w:rsidR="00E627EB" w:rsidRDefault="00E627EB" w:rsidP="00E627EB">
            <w:r>
              <w:t>Provides examples of scope changes and also discusses “significant rebudgeting”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8.2 Availability of Research Results: Publications, Intellectual Property Rights, and Sharing Research Resources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IIA-115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210</w:t>
            </w:r>
          </w:p>
        </w:tc>
        <w:tc>
          <w:tcPr>
            <w:tcW w:w="5485" w:type="dxa"/>
          </w:tcPr>
          <w:p w:rsidR="00E627EB" w:rsidRDefault="00E627EB" w:rsidP="00E627EB">
            <w:r>
              <w:t xml:space="preserve">Discusses IP-related requirements. 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8.3.2 Program Income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IIA-129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224</w:t>
            </w:r>
          </w:p>
        </w:tc>
        <w:tc>
          <w:tcPr>
            <w:tcW w:w="5485" w:type="dxa"/>
          </w:tcPr>
          <w:p w:rsidR="00E627EB" w:rsidRDefault="00E627EB" w:rsidP="00E627EB">
            <w:r>
              <w:t>Details how to account for and treat program income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8.4.1.1 Non-Competing Continuation Progress Reports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IIA-136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231</w:t>
            </w:r>
          </w:p>
        </w:tc>
        <w:tc>
          <w:tcPr>
            <w:tcW w:w="5485" w:type="dxa"/>
          </w:tcPr>
          <w:p w:rsidR="00E627EB" w:rsidRDefault="00E627EB" w:rsidP="00E627EB">
            <w:r>
              <w:t>Explains the requirements for progress reports for non-competing continuation awards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 xml:space="preserve">8.4.1.2 Streamlined Non-Competing Award Process 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IIA-137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232</w:t>
            </w:r>
          </w:p>
        </w:tc>
        <w:tc>
          <w:tcPr>
            <w:tcW w:w="5485" w:type="dxa"/>
          </w:tcPr>
          <w:p w:rsidR="00E627EB" w:rsidRDefault="00E627EB" w:rsidP="00E627EB">
            <w:r>
              <w:t>Explains the requirements for SNAP awards (also see handout on SNAP awards)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8.6 Closeout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IIA-148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243</w:t>
            </w:r>
          </w:p>
        </w:tc>
        <w:tc>
          <w:tcPr>
            <w:tcW w:w="5485" w:type="dxa"/>
          </w:tcPr>
          <w:p w:rsidR="00E627EB" w:rsidRDefault="00E627EB" w:rsidP="00E627EB">
            <w:r>
              <w:t>Explains the closeout process, including the final progress report A link is also provided for University-related closeout information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lastRenderedPageBreak/>
              <w:t>9 Multiple PD/PIs Applications and Awards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IIB-2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248</w:t>
            </w:r>
          </w:p>
        </w:tc>
        <w:tc>
          <w:tcPr>
            <w:tcW w:w="5485" w:type="dxa"/>
          </w:tcPr>
          <w:p w:rsidR="00E627EB" w:rsidRDefault="00E627EB" w:rsidP="00E627EB">
            <w:r>
              <w:t>Details special considerations for proposals and awards with multiple PIs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11 Ruth L. Kirschstein National Research Service Awards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IIB-31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277</w:t>
            </w:r>
          </w:p>
        </w:tc>
        <w:tc>
          <w:tcPr>
            <w:tcW w:w="5485" w:type="dxa"/>
          </w:tcPr>
          <w:p w:rsidR="00E627EB" w:rsidRDefault="00E627EB" w:rsidP="00E627EB">
            <w:r>
              <w:t xml:space="preserve">Details special considerations for individual fellowship and institutional research training grant proposals and awards 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12 Research Career Development (“K”) Awards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IIB-80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326</w:t>
            </w:r>
          </w:p>
        </w:tc>
        <w:tc>
          <w:tcPr>
            <w:tcW w:w="5485" w:type="dxa"/>
          </w:tcPr>
          <w:p w:rsidR="00E627EB" w:rsidRDefault="00E627EB" w:rsidP="00E627EB">
            <w:r>
              <w:t xml:space="preserve">Details special considerations for K awards 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13 Modular Applications and Awards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IIB-101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347</w:t>
            </w:r>
          </w:p>
        </w:tc>
        <w:tc>
          <w:tcPr>
            <w:tcW w:w="5485" w:type="dxa"/>
          </w:tcPr>
          <w:p w:rsidR="00E627EB" w:rsidRDefault="00E627EB" w:rsidP="00E627EB">
            <w:r>
              <w:t>Details special considerations for proposals and awards with modular budgets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14 Support of Scientific Meetings (Conference Grants)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IIB-103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349</w:t>
            </w:r>
          </w:p>
        </w:tc>
        <w:tc>
          <w:tcPr>
            <w:tcW w:w="5485" w:type="dxa"/>
          </w:tcPr>
          <w:p w:rsidR="00E627EB" w:rsidRDefault="00E627EB" w:rsidP="00E627EB">
            <w:r>
              <w:t>Details special considerations for conference grant proposals and awards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15 Consortium Agreements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IIB-109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355</w:t>
            </w:r>
          </w:p>
        </w:tc>
        <w:tc>
          <w:tcPr>
            <w:tcW w:w="5485" w:type="dxa"/>
          </w:tcPr>
          <w:p w:rsidR="00E627EB" w:rsidRDefault="00E627EB" w:rsidP="00E627EB">
            <w:r>
              <w:t>Details special considerations for proposals and awards with consortium agreements (subawards)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16 Grants to Foreign Organizations, International Organizations, and Domestic Grants with Foreign Components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IIB-114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360</w:t>
            </w:r>
          </w:p>
        </w:tc>
        <w:tc>
          <w:tcPr>
            <w:tcW w:w="5485" w:type="dxa"/>
          </w:tcPr>
          <w:p w:rsidR="00E627EB" w:rsidRDefault="00E627EB" w:rsidP="00E627EB">
            <w:r>
              <w:t>Details special considerations when the University has a foreign subrecipient</w:t>
            </w:r>
          </w:p>
        </w:tc>
      </w:tr>
      <w:tr w:rsidR="00E627EB" w:rsidTr="00E627EB">
        <w:tc>
          <w:tcPr>
            <w:tcW w:w="2697" w:type="dxa"/>
          </w:tcPr>
          <w:p w:rsidR="00E627EB" w:rsidRDefault="00E627EB" w:rsidP="00E627EB">
            <w:r>
              <w:t>18.5 SBIR and STTR Awards</w:t>
            </w:r>
          </w:p>
        </w:tc>
        <w:tc>
          <w:tcPr>
            <w:tcW w:w="1296" w:type="dxa"/>
          </w:tcPr>
          <w:p w:rsidR="00E627EB" w:rsidRDefault="00E627EB" w:rsidP="00E627EB">
            <w:pPr>
              <w:jc w:val="right"/>
            </w:pPr>
            <w:r>
              <w:t>IIB-127</w:t>
            </w:r>
          </w:p>
        </w:tc>
        <w:tc>
          <w:tcPr>
            <w:tcW w:w="1312" w:type="dxa"/>
          </w:tcPr>
          <w:p w:rsidR="00E627EB" w:rsidRDefault="00E627EB" w:rsidP="00E627EB">
            <w:pPr>
              <w:jc w:val="right"/>
            </w:pPr>
            <w:r>
              <w:t>373</w:t>
            </w:r>
          </w:p>
        </w:tc>
        <w:tc>
          <w:tcPr>
            <w:tcW w:w="5485" w:type="dxa"/>
          </w:tcPr>
          <w:p w:rsidR="00E627EB" w:rsidRDefault="00E627EB" w:rsidP="00E627EB">
            <w:r>
              <w:t xml:space="preserve">Details the special requirements for SBIR and STTR awards. 18.5.2.3 Minimum Level of Effort (page IIB-131/PDF 377) is critically important for PIs. </w:t>
            </w:r>
          </w:p>
        </w:tc>
      </w:tr>
    </w:tbl>
    <w:p w:rsidR="00E627EB" w:rsidRDefault="00E627EB" w:rsidP="00E627EB"/>
    <w:sectPr w:rsidR="00E627EB" w:rsidSect="008606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23A"/>
    <w:multiLevelType w:val="hybridMultilevel"/>
    <w:tmpl w:val="9A2A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059D"/>
    <w:multiLevelType w:val="hybridMultilevel"/>
    <w:tmpl w:val="F19A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4416"/>
    <w:multiLevelType w:val="hybridMultilevel"/>
    <w:tmpl w:val="9DF4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0840"/>
    <w:multiLevelType w:val="hybridMultilevel"/>
    <w:tmpl w:val="5C74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EB"/>
    <w:rsid w:val="00171E9D"/>
    <w:rsid w:val="00301BD3"/>
    <w:rsid w:val="0086065B"/>
    <w:rsid w:val="0092144B"/>
    <w:rsid w:val="00E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8E45F-F4BC-45F1-B858-2CCDED52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7EB"/>
    <w:pPr>
      <w:ind w:left="720"/>
      <w:contextualSpacing/>
    </w:pPr>
  </w:style>
  <w:style w:type="table" w:styleId="TableGrid">
    <w:name w:val="Table Grid"/>
    <w:basedOn w:val="TableNormal"/>
    <w:uiPriority w:val="39"/>
    <w:rsid w:val="00E627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Jernigan, Shane</dc:creator>
  <cp:keywords/>
  <dc:description/>
  <cp:lastModifiedBy>Lemieux, Melissa</cp:lastModifiedBy>
  <cp:revision>2</cp:revision>
  <dcterms:created xsi:type="dcterms:W3CDTF">2020-10-02T16:43:00Z</dcterms:created>
  <dcterms:modified xsi:type="dcterms:W3CDTF">2020-10-02T16:43:00Z</dcterms:modified>
</cp:coreProperties>
</file>