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FC9EF" w14:textId="77777777" w:rsidR="00680DCD" w:rsidRDefault="00680DCD">
      <w:pPr>
        <w:rPr>
          <w:sz w:val="22"/>
        </w:rPr>
      </w:pPr>
    </w:p>
    <w:p w14:paraId="528289E6" w14:textId="77777777" w:rsidR="00680DCD" w:rsidRDefault="00680DCD">
      <w:pPr>
        <w:rPr>
          <w:sz w:val="22"/>
        </w:rPr>
      </w:pPr>
    </w:p>
    <w:p w14:paraId="74F11F9B" w14:textId="77777777" w:rsidR="00680DCD" w:rsidRDefault="00680DCD">
      <w:pPr>
        <w:rPr>
          <w:sz w:val="22"/>
        </w:rPr>
      </w:pPr>
    </w:p>
    <w:p w14:paraId="61568274" w14:textId="77777777" w:rsidR="00680DCD" w:rsidRDefault="00680DCD">
      <w:pPr>
        <w:rPr>
          <w:sz w:val="22"/>
        </w:rPr>
      </w:pPr>
    </w:p>
    <w:p w14:paraId="4ED793CD" w14:textId="77777777" w:rsidR="00680DCD" w:rsidRDefault="00680DCD">
      <w:pPr>
        <w:rPr>
          <w:sz w:val="22"/>
        </w:rPr>
      </w:pPr>
    </w:p>
    <w:p w14:paraId="3F4DFC62" w14:textId="77777777" w:rsidR="00680DCD" w:rsidRDefault="00680DCD">
      <w:pPr>
        <w:rPr>
          <w:sz w:val="22"/>
        </w:rPr>
      </w:pPr>
    </w:p>
    <w:p w14:paraId="2DD81E6F" w14:textId="77777777" w:rsidR="00680DCD" w:rsidRDefault="00680DCD">
      <w:pPr>
        <w:rPr>
          <w:sz w:val="22"/>
        </w:rPr>
      </w:pPr>
    </w:p>
    <w:p w14:paraId="57145234" w14:textId="77777777" w:rsidR="00680DCD" w:rsidRPr="008D04A1" w:rsidRDefault="00E50C22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1" layoutInCell="1" allowOverlap="1" wp14:anchorId="144C62AC" wp14:editId="517209B2">
            <wp:simplePos x="0" y="0"/>
            <wp:positionH relativeFrom="page">
              <wp:posOffset>521335</wp:posOffset>
            </wp:positionH>
            <wp:positionV relativeFrom="page">
              <wp:posOffset>457200</wp:posOffset>
            </wp:positionV>
            <wp:extent cx="2987040" cy="440055"/>
            <wp:effectExtent l="19050" t="0" r="3810" b="0"/>
            <wp:wrapNone/>
            <wp:docPr id="2" name="Picture 2" descr="2campus_cmyk_h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campus_cmyk_h1.ep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A2727A" w14:textId="77777777" w:rsidR="00680DCD" w:rsidRPr="008D04A1" w:rsidRDefault="00680DCD"/>
    <w:p w14:paraId="100E8724" w14:textId="77777777" w:rsidR="00680DCD" w:rsidRDefault="00680DCD">
      <w:pPr>
        <w:sectPr w:rsidR="00680DCD">
          <w:pgSz w:w="12240" w:h="15840"/>
          <w:pgMar w:top="432" w:right="1627" w:bottom="1627" w:left="1627" w:header="432" w:footer="432" w:gutter="0"/>
          <w:cols w:space="720"/>
        </w:sectPr>
      </w:pPr>
    </w:p>
    <w:tbl>
      <w:tblPr>
        <w:tblpPr w:leftFromText="187" w:rightFromText="187" w:vertAnchor="page" w:horzAnchor="margin" w:tblpXSpec="right" w:tblpY="865"/>
        <w:tblOverlap w:val="never"/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0"/>
        <w:gridCol w:w="2147"/>
      </w:tblGrid>
      <w:tr w:rsidR="00075EC2" w:rsidRPr="0091535E" w14:paraId="23DC503B" w14:textId="77777777" w:rsidTr="009B61FE">
        <w:trPr>
          <w:trHeight w:val="195"/>
        </w:trPr>
        <w:tc>
          <w:tcPr>
            <w:tcW w:w="1800" w:type="dxa"/>
          </w:tcPr>
          <w:p w14:paraId="18633B3C" w14:textId="77777777" w:rsidR="00075EC2" w:rsidRPr="009B61FE" w:rsidRDefault="00075EC2" w:rsidP="00096541">
            <w:pPr>
              <w:spacing w:line="200" w:lineRule="exact"/>
              <w:rPr>
                <w:rFonts w:ascii="Arial" w:hAnsi="Arial" w:cs="Arial"/>
                <w:b/>
                <w:sz w:val="15"/>
                <w:szCs w:val="15"/>
              </w:rPr>
            </w:pPr>
            <w:r w:rsidRPr="009B61FE">
              <w:rPr>
                <w:rFonts w:ascii="Arial" w:hAnsi="Arial" w:cs="Arial"/>
                <w:b/>
                <w:sz w:val="15"/>
                <w:szCs w:val="15"/>
              </w:rPr>
              <w:t>Budget Office</w:t>
            </w:r>
          </w:p>
          <w:p w14:paraId="31E42764" w14:textId="77777777" w:rsidR="00075EC2" w:rsidRPr="009B61FE" w:rsidRDefault="00075EC2" w:rsidP="00096541">
            <w:pPr>
              <w:spacing w:line="200" w:lineRule="exact"/>
              <w:rPr>
                <w:rFonts w:ascii="Arial" w:hAnsi="Arial" w:cs="Arial"/>
                <w:b/>
                <w:sz w:val="15"/>
                <w:szCs w:val="15"/>
              </w:rPr>
            </w:pPr>
            <w:r w:rsidRPr="009B61FE">
              <w:rPr>
                <w:rFonts w:ascii="Arial" w:hAnsi="Arial" w:cs="Arial"/>
                <w:b/>
                <w:sz w:val="15"/>
                <w:szCs w:val="15"/>
              </w:rPr>
              <w:t>Denver Campus</w:t>
            </w:r>
          </w:p>
        </w:tc>
        <w:tc>
          <w:tcPr>
            <w:tcW w:w="2147" w:type="dxa"/>
          </w:tcPr>
          <w:p w14:paraId="18C802D1" w14:textId="77777777" w:rsidR="00075EC2" w:rsidRPr="009B61FE" w:rsidRDefault="00075EC2" w:rsidP="00075EC2">
            <w:pPr>
              <w:spacing w:line="200" w:lineRule="exact"/>
              <w:rPr>
                <w:rFonts w:ascii="Arial" w:hAnsi="Arial" w:cs="Arial"/>
                <w:b/>
                <w:sz w:val="15"/>
                <w:szCs w:val="15"/>
              </w:rPr>
            </w:pPr>
            <w:r w:rsidRPr="009B61FE">
              <w:rPr>
                <w:rFonts w:ascii="Arial" w:hAnsi="Arial" w:cs="Arial"/>
                <w:b/>
                <w:sz w:val="15"/>
                <w:szCs w:val="15"/>
              </w:rPr>
              <w:t>Budget Office</w:t>
            </w:r>
          </w:p>
          <w:p w14:paraId="4C20DD73" w14:textId="77777777" w:rsidR="00075EC2" w:rsidRPr="009B61FE" w:rsidRDefault="00075EC2" w:rsidP="00075EC2">
            <w:pPr>
              <w:spacing w:line="200" w:lineRule="exact"/>
              <w:rPr>
                <w:rFonts w:ascii="Arial" w:hAnsi="Arial" w:cs="Arial"/>
                <w:b/>
                <w:sz w:val="15"/>
                <w:szCs w:val="15"/>
              </w:rPr>
            </w:pPr>
            <w:r w:rsidRPr="009B61FE">
              <w:rPr>
                <w:rFonts w:ascii="Arial" w:hAnsi="Arial" w:cs="Arial"/>
                <w:b/>
                <w:sz w:val="15"/>
                <w:szCs w:val="15"/>
              </w:rPr>
              <w:t>Anschutz Medical Campus</w:t>
            </w:r>
          </w:p>
        </w:tc>
      </w:tr>
      <w:tr w:rsidR="00075EC2" w:rsidRPr="0091535E" w14:paraId="068D673F" w14:textId="77777777" w:rsidTr="009B61FE">
        <w:trPr>
          <w:trHeight w:val="195"/>
        </w:trPr>
        <w:tc>
          <w:tcPr>
            <w:tcW w:w="1800" w:type="dxa"/>
          </w:tcPr>
          <w:p w14:paraId="55FEBDE6" w14:textId="77777777" w:rsidR="00075EC2" w:rsidRPr="009B61FE" w:rsidRDefault="00075EC2" w:rsidP="00075EC2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9B61FE">
              <w:rPr>
                <w:rFonts w:ascii="Arial" w:hAnsi="Arial" w:cs="Arial"/>
                <w:sz w:val="14"/>
                <w:szCs w:val="14"/>
              </w:rPr>
              <w:t>1380 Lawrence Street</w:t>
            </w:r>
          </w:p>
          <w:p w14:paraId="28C811EC" w14:textId="77777777" w:rsidR="00075EC2" w:rsidRPr="009B61FE" w:rsidRDefault="00075EC2" w:rsidP="00075EC2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9B61FE">
              <w:rPr>
                <w:rFonts w:ascii="Arial" w:hAnsi="Arial" w:cs="Arial"/>
                <w:sz w:val="14"/>
                <w:szCs w:val="14"/>
              </w:rPr>
              <w:t>LW1000</w:t>
            </w:r>
          </w:p>
        </w:tc>
        <w:tc>
          <w:tcPr>
            <w:tcW w:w="2147" w:type="dxa"/>
          </w:tcPr>
          <w:p w14:paraId="1E645DC2" w14:textId="77777777" w:rsidR="00075EC2" w:rsidRPr="009B61FE" w:rsidRDefault="00075EC2" w:rsidP="00075EC2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9B61FE">
              <w:rPr>
                <w:rFonts w:ascii="Arial" w:hAnsi="Arial" w:cs="Arial"/>
                <w:sz w:val="14"/>
                <w:szCs w:val="14"/>
              </w:rPr>
              <w:t>Fitzsimons Building</w:t>
            </w:r>
          </w:p>
          <w:p w14:paraId="0B6D98D9" w14:textId="77777777" w:rsidR="00075EC2" w:rsidRPr="009B61FE" w:rsidRDefault="00075EC2" w:rsidP="00075EC2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9B61FE">
              <w:rPr>
                <w:rFonts w:ascii="Arial" w:hAnsi="Arial" w:cs="Arial"/>
                <w:sz w:val="14"/>
                <w:szCs w:val="14"/>
              </w:rPr>
              <w:t>13001 E. 17</w:t>
            </w:r>
            <w:r w:rsidRPr="009B61FE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 w:rsidRPr="009B61FE">
              <w:rPr>
                <w:rFonts w:ascii="Arial" w:hAnsi="Arial" w:cs="Arial"/>
                <w:sz w:val="14"/>
                <w:szCs w:val="14"/>
              </w:rPr>
              <w:t xml:space="preserve"> Place</w:t>
            </w:r>
          </w:p>
        </w:tc>
      </w:tr>
      <w:tr w:rsidR="00075EC2" w:rsidRPr="0091535E" w14:paraId="2CB93C9C" w14:textId="77777777" w:rsidTr="009B61FE">
        <w:trPr>
          <w:trHeight w:val="195"/>
        </w:trPr>
        <w:tc>
          <w:tcPr>
            <w:tcW w:w="1800" w:type="dxa"/>
          </w:tcPr>
          <w:p w14:paraId="79BE8804" w14:textId="77777777" w:rsidR="00075EC2" w:rsidRPr="009B61FE" w:rsidRDefault="00075EC2" w:rsidP="009B61FE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9B61FE">
              <w:rPr>
                <w:rFonts w:ascii="Arial" w:hAnsi="Arial" w:cs="Arial"/>
                <w:sz w:val="14"/>
                <w:szCs w:val="14"/>
              </w:rPr>
              <w:t>Denver, C</w:t>
            </w:r>
            <w:r w:rsidR="009B61FE">
              <w:rPr>
                <w:rFonts w:ascii="Arial" w:hAnsi="Arial" w:cs="Arial"/>
                <w:sz w:val="14"/>
                <w:szCs w:val="14"/>
              </w:rPr>
              <w:t>O</w:t>
            </w:r>
            <w:r w:rsidRPr="009B61FE">
              <w:rPr>
                <w:rFonts w:ascii="Arial" w:hAnsi="Arial" w:cs="Arial"/>
                <w:sz w:val="14"/>
                <w:szCs w:val="14"/>
              </w:rPr>
              <w:t xml:space="preserve"> 80217</w:t>
            </w:r>
          </w:p>
        </w:tc>
        <w:tc>
          <w:tcPr>
            <w:tcW w:w="2147" w:type="dxa"/>
          </w:tcPr>
          <w:p w14:paraId="1D750122" w14:textId="77777777" w:rsidR="00075EC2" w:rsidRPr="009B61FE" w:rsidRDefault="00075EC2" w:rsidP="00075EC2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  <w:r w:rsidRPr="009B61FE">
              <w:rPr>
                <w:rFonts w:ascii="Arial" w:hAnsi="Arial" w:cs="Arial"/>
                <w:sz w:val="14"/>
                <w:szCs w:val="14"/>
              </w:rPr>
              <w:t>Aurora, CO 80045</w:t>
            </w:r>
          </w:p>
        </w:tc>
      </w:tr>
    </w:tbl>
    <w:p w14:paraId="5956FC8B" w14:textId="1D15B7D7" w:rsidR="002C10CE" w:rsidRPr="00DB7CB1" w:rsidRDefault="00C464B0" w:rsidP="002C10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July </w:t>
      </w:r>
      <w:r w:rsidR="00FC490E">
        <w:rPr>
          <w:rFonts w:ascii="Arial" w:hAnsi="Arial" w:cs="Arial"/>
          <w:sz w:val="22"/>
          <w:szCs w:val="22"/>
        </w:rPr>
        <w:t>1</w:t>
      </w:r>
      <w:r w:rsidR="006230FE">
        <w:rPr>
          <w:rFonts w:ascii="Arial" w:hAnsi="Arial" w:cs="Arial"/>
          <w:sz w:val="22"/>
          <w:szCs w:val="22"/>
        </w:rPr>
        <w:t>8</w:t>
      </w:r>
      <w:r w:rsidR="00024B5E">
        <w:rPr>
          <w:rFonts w:ascii="Arial" w:hAnsi="Arial" w:cs="Arial"/>
          <w:sz w:val="22"/>
          <w:szCs w:val="22"/>
        </w:rPr>
        <w:t>, 202</w:t>
      </w:r>
      <w:r w:rsidR="00FC490E">
        <w:rPr>
          <w:rFonts w:ascii="Arial" w:hAnsi="Arial" w:cs="Arial"/>
          <w:sz w:val="22"/>
          <w:szCs w:val="22"/>
        </w:rPr>
        <w:t>5</w:t>
      </w:r>
      <w:r w:rsidR="00D34884">
        <w:rPr>
          <w:rFonts w:ascii="Arial" w:hAnsi="Arial" w:cs="Arial"/>
          <w:sz w:val="22"/>
          <w:szCs w:val="22"/>
        </w:rPr>
        <w:tab/>
      </w:r>
    </w:p>
    <w:p w14:paraId="79235275" w14:textId="77777777" w:rsidR="002C10CE" w:rsidRDefault="002C10CE" w:rsidP="002C10CE">
      <w:pPr>
        <w:rPr>
          <w:rFonts w:ascii="Arial" w:hAnsi="Arial" w:cs="Arial"/>
          <w:sz w:val="22"/>
          <w:szCs w:val="22"/>
        </w:rPr>
      </w:pPr>
    </w:p>
    <w:p w14:paraId="5B1F5D45" w14:textId="77777777" w:rsidR="002C10CE" w:rsidRPr="00DB7CB1" w:rsidRDefault="002C10CE" w:rsidP="002C10CE">
      <w:pPr>
        <w:rPr>
          <w:rFonts w:ascii="Arial" w:hAnsi="Arial" w:cs="Arial"/>
          <w:sz w:val="22"/>
          <w:szCs w:val="22"/>
        </w:rPr>
      </w:pPr>
    </w:p>
    <w:p w14:paraId="5D4A0930" w14:textId="77777777" w:rsidR="002C10CE" w:rsidRPr="00DB7CB1" w:rsidRDefault="002C10CE" w:rsidP="002C10CE">
      <w:pPr>
        <w:rPr>
          <w:rFonts w:ascii="Arial" w:hAnsi="Arial" w:cs="Arial"/>
          <w:sz w:val="22"/>
          <w:szCs w:val="22"/>
        </w:rPr>
      </w:pPr>
      <w:r w:rsidRPr="00DB7CB1">
        <w:rPr>
          <w:rFonts w:ascii="Arial" w:hAnsi="Arial" w:cs="Arial"/>
          <w:b/>
          <w:sz w:val="22"/>
          <w:szCs w:val="22"/>
        </w:rPr>
        <w:t>TO</w:t>
      </w:r>
      <w:r w:rsidRPr="00DB7CB1">
        <w:rPr>
          <w:rFonts w:ascii="Arial" w:hAnsi="Arial" w:cs="Arial"/>
          <w:sz w:val="22"/>
          <w:szCs w:val="22"/>
        </w:rPr>
        <w:t>:</w:t>
      </w:r>
      <w:r w:rsidRPr="00DB7CB1">
        <w:rPr>
          <w:rFonts w:ascii="Arial" w:hAnsi="Arial" w:cs="Arial"/>
          <w:sz w:val="22"/>
          <w:szCs w:val="22"/>
        </w:rPr>
        <w:tab/>
      </w:r>
      <w:r w:rsidRPr="00DB7CB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Department Administrators &amp; Fiscal Managers</w:t>
      </w:r>
    </w:p>
    <w:p w14:paraId="7C4F7091" w14:textId="77777777" w:rsidR="002C10CE" w:rsidRPr="00DB7CB1" w:rsidRDefault="002C10CE" w:rsidP="002C10CE">
      <w:pPr>
        <w:rPr>
          <w:rFonts w:ascii="Arial" w:hAnsi="Arial" w:cs="Arial"/>
          <w:sz w:val="22"/>
          <w:szCs w:val="22"/>
        </w:rPr>
      </w:pPr>
    </w:p>
    <w:p w14:paraId="0E9E6DBB" w14:textId="77777777" w:rsidR="00024B5E" w:rsidRDefault="002C10CE" w:rsidP="00024B5E">
      <w:pPr>
        <w:ind w:left="1440" w:hanging="1440"/>
        <w:rPr>
          <w:rFonts w:ascii="Arial" w:hAnsi="Arial" w:cs="Arial"/>
          <w:sz w:val="22"/>
          <w:szCs w:val="22"/>
        </w:rPr>
      </w:pPr>
      <w:r w:rsidRPr="00DB7CB1">
        <w:rPr>
          <w:rFonts w:ascii="Arial" w:hAnsi="Arial" w:cs="Arial"/>
          <w:b/>
          <w:sz w:val="22"/>
          <w:szCs w:val="22"/>
        </w:rPr>
        <w:t>FROM</w:t>
      </w:r>
      <w:r w:rsidRPr="00DB7CB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782F64">
        <w:rPr>
          <w:rFonts w:ascii="Arial" w:hAnsi="Arial" w:cs="Arial"/>
          <w:sz w:val="22"/>
          <w:szCs w:val="22"/>
        </w:rPr>
        <w:t>Ryan Davis</w:t>
      </w:r>
      <w:r w:rsidRPr="00DB7CB1">
        <w:rPr>
          <w:rFonts w:ascii="Arial" w:hAnsi="Arial" w:cs="Arial"/>
          <w:sz w:val="22"/>
          <w:szCs w:val="22"/>
        </w:rPr>
        <w:t xml:space="preserve">, </w:t>
      </w:r>
      <w:r w:rsidRPr="005D56ED">
        <w:rPr>
          <w:rFonts w:ascii="Arial" w:hAnsi="Arial" w:cs="Arial"/>
          <w:sz w:val="22"/>
          <w:szCs w:val="22"/>
        </w:rPr>
        <w:t>Ass</w:t>
      </w:r>
      <w:r w:rsidR="005F61E8">
        <w:rPr>
          <w:rFonts w:ascii="Arial" w:hAnsi="Arial" w:cs="Arial"/>
          <w:sz w:val="22"/>
          <w:szCs w:val="22"/>
        </w:rPr>
        <w:t>ocia</w:t>
      </w:r>
      <w:r w:rsidR="00782F64">
        <w:rPr>
          <w:rFonts w:ascii="Arial" w:hAnsi="Arial" w:cs="Arial"/>
          <w:sz w:val="22"/>
          <w:szCs w:val="22"/>
        </w:rPr>
        <w:t>t</w:t>
      </w:r>
      <w:r w:rsidR="005F61E8">
        <w:rPr>
          <w:rFonts w:ascii="Arial" w:hAnsi="Arial" w:cs="Arial"/>
          <w:sz w:val="22"/>
          <w:szCs w:val="22"/>
        </w:rPr>
        <w:t>e</w:t>
      </w:r>
      <w:r w:rsidRPr="005D56ED">
        <w:rPr>
          <w:rFonts w:ascii="Arial" w:hAnsi="Arial" w:cs="Arial"/>
          <w:sz w:val="22"/>
          <w:szCs w:val="22"/>
        </w:rPr>
        <w:t xml:space="preserve"> Vice Chancellor for </w:t>
      </w:r>
      <w:r w:rsidR="00782F64">
        <w:rPr>
          <w:rFonts w:ascii="Arial" w:hAnsi="Arial" w:cs="Arial"/>
          <w:sz w:val="22"/>
          <w:szCs w:val="22"/>
        </w:rPr>
        <w:t>Budget, Anschutz Medical Campu</w:t>
      </w:r>
      <w:r w:rsidR="00024B5E">
        <w:rPr>
          <w:rFonts w:ascii="Arial" w:hAnsi="Arial" w:cs="Arial"/>
          <w:sz w:val="22"/>
          <w:szCs w:val="22"/>
        </w:rPr>
        <w:t xml:space="preserve">s </w:t>
      </w:r>
    </w:p>
    <w:p w14:paraId="6EE44691" w14:textId="77777777" w:rsidR="002C10CE" w:rsidRPr="00DB7CB1" w:rsidRDefault="006770BD" w:rsidP="00024B5E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Jen St. Peter,</w:t>
      </w:r>
      <w:r w:rsidR="00024B5E">
        <w:rPr>
          <w:rFonts w:ascii="Arial" w:hAnsi="Arial" w:cs="Arial"/>
          <w:sz w:val="22"/>
          <w:szCs w:val="22"/>
        </w:rPr>
        <w:t xml:space="preserve"> </w:t>
      </w:r>
      <w:r w:rsidR="00FE04D4">
        <w:rPr>
          <w:rFonts w:ascii="Arial" w:hAnsi="Arial" w:cs="Arial"/>
          <w:sz w:val="22"/>
          <w:szCs w:val="22"/>
        </w:rPr>
        <w:t>Associate Vice Chancellor for Budget</w:t>
      </w:r>
      <w:r w:rsidR="00024B5E">
        <w:rPr>
          <w:rFonts w:ascii="Arial" w:hAnsi="Arial" w:cs="Arial"/>
          <w:sz w:val="22"/>
          <w:szCs w:val="22"/>
        </w:rPr>
        <w:t>, Denver Campus</w:t>
      </w:r>
    </w:p>
    <w:p w14:paraId="46742C40" w14:textId="77777777" w:rsidR="002C10CE" w:rsidRPr="00DB7CB1" w:rsidRDefault="002C10CE" w:rsidP="002C10CE">
      <w:pPr>
        <w:rPr>
          <w:rFonts w:ascii="Arial" w:hAnsi="Arial" w:cs="Arial"/>
          <w:sz w:val="22"/>
          <w:szCs w:val="22"/>
        </w:rPr>
      </w:pPr>
    </w:p>
    <w:p w14:paraId="71D26B96" w14:textId="5C714A0D" w:rsidR="002C10CE" w:rsidRPr="00DB7CB1" w:rsidRDefault="002C10CE" w:rsidP="002C10CE">
      <w:pPr>
        <w:rPr>
          <w:rFonts w:ascii="Arial" w:hAnsi="Arial" w:cs="Arial"/>
          <w:sz w:val="22"/>
          <w:szCs w:val="22"/>
        </w:rPr>
      </w:pPr>
      <w:r w:rsidRPr="00DB7CB1">
        <w:rPr>
          <w:rFonts w:ascii="Arial" w:hAnsi="Arial" w:cs="Arial"/>
          <w:b/>
          <w:sz w:val="22"/>
          <w:szCs w:val="22"/>
        </w:rPr>
        <w:t>SUBJECT</w:t>
      </w:r>
      <w:r w:rsidRPr="00DB7CB1">
        <w:rPr>
          <w:rFonts w:ascii="Arial" w:hAnsi="Arial" w:cs="Arial"/>
          <w:sz w:val="22"/>
          <w:szCs w:val="22"/>
        </w:rPr>
        <w:t>:</w:t>
      </w:r>
      <w:r w:rsidRPr="00DB7CB1">
        <w:rPr>
          <w:rFonts w:ascii="Arial" w:hAnsi="Arial" w:cs="Arial"/>
          <w:sz w:val="22"/>
          <w:szCs w:val="22"/>
        </w:rPr>
        <w:tab/>
        <w:t xml:space="preserve">Projected Fiscal Year </w:t>
      </w:r>
      <w:r w:rsidR="0018709F">
        <w:rPr>
          <w:rFonts w:ascii="Arial" w:hAnsi="Arial" w:cs="Arial"/>
          <w:sz w:val="22"/>
          <w:szCs w:val="22"/>
        </w:rPr>
        <w:t>202</w:t>
      </w:r>
      <w:r w:rsidR="00FC490E">
        <w:rPr>
          <w:rFonts w:ascii="Arial" w:hAnsi="Arial" w:cs="Arial"/>
          <w:sz w:val="22"/>
          <w:szCs w:val="22"/>
        </w:rPr>
        <w:t>5</w:t>
      </w:r>
      <w:r w:rsidR="00D34884">
        <w:rPr>
          <w:rFonts w:ascii="Arial" w:hAnsi="Arial" w:cs="Arial"/>
          <w:sz w:val="22"/>
          <w:szCs w:val="22"/>
        </w:rPr>
        <w:t>-2</w:t>
      </w:r>
      <w:r w:rsidR="00FC490E">
        <w:rPr>
          <w:rFonts w:ascii="Arial" w:hAnsi="Arial" w:cs="Arial"/>
          <w:sz w:val="22"/>
          <w:szCs w:val="22"/>
        </w:rPr>
        <w:t>6</w:t>
      </w:r>
      <w:r w:rsidRPr="00DB7CB1">
        <w:rPr>
          <w:rFonts w:ascii="Arial" w:hAnsi="Arial" w:cs="Arial"/>
          <w:sz w:val="22"/>
          <w:szCs w:val="22"/>
        </w:rPr>
        <w:t xml:space="preserve"> Fringe Benefit Rates </w:t>
      </w:r>
    </w:p>
    <w:p w14:paraId="30765F9D" w14:textId="77777777" w:rsidR="002C10CE" w:rsidRPr="00DB7CB1" w:rsidRDefault="002C10CE" w:rsidP="002C10CE">
      <w:pPr>
        <w:tabs>
          <w:tab w:val="left" w:pos="720"/>
          <w:tab w:val="left" w:pos="4320"/>
          <w:tab w:val="left" w:pos="6120"/>
        </w:tabs>
        <w:rPr>
          <w:rFonts w:ascii="Arial" w:hAnsi="Arial" w:cs="Arial"/>
          <w:sz w:val="22"/>
          <w:szCs w:val="22"/>
        </w:rPr>
      </w:pPr>
    </w:p>
    <w:p w14:paraId="483EE945" w14:textId="613C5C63" w:rsidR="002C10CE" w:rsidRDefault="002C10CE" w:rsidP="002C10CE">
      <w:pPr>
        <w:tabs>
          <w:tab w:val="left" w:pos="720"/>
          <w:tab w:val="left" w:pos="4320"/>
          <w:tab w:val="left" w:pos="61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Below are the fringe benefit rate projections</w:t>
      </w:r>
      <w:r w:rsidRPr="00DB7CB1">
        <w:rPr>
          <w:rFonts w:ascii="Arial" w:hAnsi="Arial" w:cs="Arial"/>
          <w:sz w:val="22"/>
          <w:szCs w:val="22"/>
        </w:rPr>
        <w:t xml:space="preserve"> for FY </w:t>
      </w:r>
      <w:r w:rsidR="00D34884">
        <w:rPr>
          <w:rFonts w:ascii="Arial" w:hAnsi="Arial" w:cs="Arial"/>
          <w:sz w:val="22"/>
          <w:szCs w:val="22"/>
        </w:rPr>
        <w:t>20</w:t>
      </w:r>
      <w:r w:rsidR="0018709F">
        <w:rPr>
          <w:rFonts w:ascii="Arial" w:hAnsi="Arial" w:cs="Arial"/>
          <w:sz w:val="22"/>
          <w:szCs w:val="22"/>
        </w:rPr>
        <w:t>2</w:t>
      </w:r>
      <w:r w:rsidR="00FC490E">
        <w:rPr>
          <w:rFonts w:ascii="Arial" w:hAnsi="Arial" w:cs="Arial"/>
          <w:sz w:val="22"/>
          <w:szCs w:val="22"/>
        </w:rPr>
        <w:t>5</w:t>
      </w:r>
      <w:r w:rsidR="00D34884">
        <w:rPr>
          <w:rFonts w:ascii="Arial" w:hAnsi="Arial" w:cs="Arial"/>
          <w:sz w:val="22"/>
          <w:szCs w:val="22"/>
        </w:rPr>
        <w:t>-2</w:t>
      </w:r>
      <w:r w:rsidR="00FC490E">
        <w:rPr>
          <w:rFonts w:ascii="Arial" w:hAnsi="Arial" w:cs="Arial"/>
          <w:sz w:val="22"/>
          <w:szCs w:val="22"/>
        </w:rPr>
        <w:t>6</w:t>
      </w:r>
      <w:r w:rsidRPr="00DB7CB1">
        <w:rPr>
          <w:rFonts w:ascii="Arial" w:hAnsi="Arial" w:cs="Arial"/>
          <w:sz w:val="22"/>
          <w:szCs w:val="22"/>
        </w:rPr>
        <w:t xml:space="preserve"> beginning July 1, 20</w:t>
      </w:r>
      <w:r w:rsidR="0018709F">
        <w:rPr>
          <w:rFonts w:ascii="Arial" w:hAnsi="Arial" w:cs="Arial"/>
          <w:sz w:val="22"/>
          <w:szCs w:val="22"/>
        </w:rPr>
        <w:t>2</w:t>
      </w:r>
      <w:r w:rsidR="00FC490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for </w:t>
      </w:r>
      <w:r w:rsidRPr="005C4C37">
        <w:rPr>
          <w:rFonts w:ascii="Arial" w:hAnsi="Arial" w:cs="Arial"/>
          <w:sz w:val="22"/>
          <w:szCs w:val="22"/>
        </w:rPr>
        <w:t xml:space="preserve">the </w:t>
      </w:r>
      <w:r w:rsidR="00024B5E">
        <w:rPr>
          <w:rFonts w:ascii="Arial" w:hAnsi="Arial" w:cs="Arial"/>
          <w:sz w:val="22"/>
          <w:szCs w:val="22"/>
        </w:rPr>
        <w:t xml:space="preserve">Denver Campus and the </w:t>
      </w:r>
      <w:r w:rsidRPr="005C4C37">
        <w:rPr>
          <w:rFonts w:ascii="Arial" w:hAnsi="Arial" w:cs="Arial"/>
          <w:sz w:val="22"/>
          <w:szCs w:val="22"/>
        </w:rPr>
        <w:t xml:space="preserve">Anschutz Medical </w:t>
      </w:r>
      <w:r w:rsidR="00076D4E">
        <w:rPr>
          <w:rFonts w:ascii="Arial" w:hAnsi="Arial" w:cs="Arial"/>
          <w:sz w:val="22"/>
          <w:szCs w:val="22"/>
        </w:rPr>
        <w:t>C</w:t>
      </w:r>
      <w:r w:rsidRPr="005C4C37">
        <w:rPr>
          <w:rFonts w:ascii="Arial" w:hAnsi="Arial" w:cs="Arial"/>
          <w:sz w:val="22"/>
          <w:szCs w:val="22"/>
        </w:rPr>
        <w:t>ampus.</w:t>
      </w:r>
      <w:r w:rsidRPr="00DB7C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These numbers are for planning </w:t>
      </w:r>
      <w:r w:rsidR="009B61FE">
        <w:rPr>
          <w:rFonts w:ascii="Arial" w:hAnsi="Arial" w:cs="Arial"/>
          <w:sz w:val="22"/>
          <w:szCs w:val="22"/>
        </w:rPr>
        <w:t xml:space="preserve">purposes </w:t>
      </w:r>
      <w:r>
        <w:rPr>
          <w:rFonts w:ascii="Arial" w:hAnsi="Arial" w:cs="Arial"/>
          <w:sz w:val="22"/>
          <w:szCs w:val="22"/>
        </w:rPr>
        <w:t>and may</w:t>
      </w:r>
      <w:r w:rsidRPr="00DB7CB1">
        <w:rPr>
          <w:rFonts w:ascii="Arial" w:hAnsi="Arial" w:cs="Arial"/>
          <w:sz w:val="22"/>
          <w:szCs w:val="22"/>
        </w:rPr>
        <w:t xml:space="preserve"> be modified based on the final outcome of the fringe pools at June 30. We don’t expect the final rates to vary significantly from these projections. </w:t>
      </w:r>
    </w:p>
    <w:p w14:paraId="3087D0BD" w14:textId="77777777" w:rsidR="002C10CE" w:rsidRDefault="002C10CE" w:rsidP="002C10CE">
      <w:pPr>
        <w:tabs>
          <w:tab w:val="left" w:pos="720"/>
          <w:tab w:val="left" w:pos="4320"/>
          <w:tab w:val="left" w:pos="6120"/>
        </w:tabs>
        <w:rPr>
          <w:rFonts w:ascii="Arial" w:hAnsi="Arial" w:cs="Arial"/>
          <w:sz w:val="22"/>
          <w:szCs w:val="22"/>
        </w:rPr>
      </w:pPr>
    </w:p>
    <w:p w14:paraId="655F9FE0" w14:textId="77777777" w:rsidR="002C10CE" w:rsidRDefault="002C10CE" w:rsidP="002C10CE">
      <w:pPr>
        <w:tabs>
          <w:tab w:val="left" w:pos="720"/>
          <w:tab w:val="left" w:pos="4320"/>
          <w:tab w:val="left" w:pos="61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Remember, these are the fringe benefit rates calculated by the </w:t>
      </w:r>
      <w:r w:rsidR="00CF1997">
        <w:rPr>
          <w:rFonts w:ascii="Arial" w:hAnsi="Arial" w:cs="Arial"/>
          <w:sz w:val="22"/>
          <w:szCs w:val="22"/>
        </w:rPr>
        <w:t>Budget</w:t>
      </w:r>
      <w:r>
        <w:rPr>
          <w:rFonts w:ascii="Arial" w:hAnsi="Arial" w:cs="Arial"/>
          <w:sz w:val="22"/>
          <w:szCs w:val="22"/>
        </w:rPr>
        <w:t xml:space="preserve"> Office and should be used as part of your annual budgeting process. </w:t>
      </w:r>
      <w:proofErr w:type="gramStart"/>
      <w:r>
        <w:rPr>
          <w:rFonts w:ascii="Arial" w:hAnsi="Arial" w:cs="Arial"/>
          <w:sz w:val="22"/>
          <w:szCs w:val="22"/>
        </w:rPr>
        <w:t>If budgeting</w:t>
      </w:r>
      <w:proofErr w:type="gramEnd"/>
      <w:r>
        <w:rPr>
          <w:rFonts w:ascii="Arial" w:hAnsi="Arial" w:cs="Arial"/>
          <w:sz w:val="22"/>
          <w:szCs w:val="22"/>
        </w:rPr>
        <w:t xml:space="preserve"> benefits on a sponsored project, see</w:t>
      </w:r>
      <w:r w:rsidRPr="005D56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below for an estimate of the full fringe benefit rates (e.g. health, life, dental etc.)</w:t>
      </w:r>
    </w:p>
    <w:p w14:paraId="20853D94" w14:textId="77777777" w:rsidR="007D5F40" w:rsidRDefault="007D5F40" w:rsidP="007D5F40">
      <w:pPr>
        <w:tabs>
          <w:tab w:val="left" w:pos="720"/>
          <w:tab w:val="left" w:pos="4320"/>
          <w:tab w:val="left" w:pos="6120"/>
        </w:tabs>
        <w:rPr>
          <w:rFonts w:ascii="Arial" w:hAnsi="Arial" w:cs="Arial"/>
          <w:sz w:val="22"/>
          <w:szCs w:val="22"/>
        </w:rPr>
      </w:pPr>
      <w:hyperlink r:id="rId8" w:history="1">
        <w:r w:rsidRPr="00E3470C">
          <w:rPr>
            <w:rStyle w:val="Hyperlink"/>
            <w:rFonts w:ascii="Arial" w:hAnsi="Arial" w:cs="Arial"/>
            <w:sz w:val="22"/>
            <w:szCs w:val="22"/>
          </w:rPr>
          <w:t>http://www.ucdenver.edu/research/OGC/awardadmin/preaward/Pages/fringe.aspx</w:t>
        </w:r>
      </w:hyperlink>
    </w:p>
    <w:p w14:paraId="32980B24" w14:textId="77777777" w:rsidR="002C10CE" w:rsidRDefault="002C10CE" w:rsidP="002C10CE">
      <w:pPr>
        <w:tabs>
          <w:tab w:val="left" w:pos="720"/>
          <w:tab w:val="left" w:pos="4320"/>
          <w:tab w:val="left" w:pos="6120"/>
        </w:tabs>
        <w:rPr>
          <w:rFonts w:ascii="Arial" w:hAnsi="Arial" w:cs="Arial"/>
          <w:sz w:val="22"/>
          <w:szCs w:val="22"/>
        </w:rPr>
      </w:pPr>
    </w:p>
    <w:p w14:paraId="0DF03CA6" w14:textId="77777777" w:rsidR="002C10CE" w:rsidRPr="00DB7CB1" w:rsidRDefault="002C10CE" w:rsidP="002C10CE">
      <w:pPr>
        <w:tabs>
          <w:tab w:val="left" w:pos="720"/>
          <w:tab w:val="left" w:pos="4320"/>
          <w:tab w:val="left" w:pos="6120"/>
        </w:tabs>
        <w:rPr>
          <w:rFonts w:ascii="Arial" w:hAnsi="Arial" w:cs="Arial"/>
          <w:sz w:val="22"/>
          <w:szCs w:val="22"/>
        </w:rPr>
      </w:pP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1800"/>
        <w:gridCol w:w="1800"/>
      </w:tblGrid>
      <w:tr w:rsidR="00CF1997" w:rsidRPr="00DB7CB1" w14:paraId="322E248C" w14:textId="77777777" w:rsidTr="00CF1997">
        <w:trPr>
          <w:cantSplit/>
          <w:jc w:val="center"/>
        </w:trPr>
        <w:tc>
          <w:tcPr>
            <w:tcW w:w="5102" w:type="dxa"/>
          </w:tcPr>
          <w:p w14:paraId="5453543E" w14:textId="77777777" w:rsidR="00CF1997" w:rsidRPr="00DB7CB1" w:rsidRDefault="00CF1997" w:rsidP="00CF19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Fringe </w:t>
            </w:r>
            <w:r w:rsidRPr="00DB7CB1">
              <w:rPr>
                <w:rFonts w:ascii="Arial" w:hAnsi="Arial" w:cs="Arial"/>
                <w:b/>
                <w:sz w:val="22"/>
                <w:szCs w:val="22"/>
              </w:rPr>
              <w:t>Benefit</w:t>
            </w:r>
          </w:p>
        </w:tc>
        <w:tc>
          <w:tcPr>
            <w:tcW w:w="1800" w:type="dxa"/>
          </w:tcPr>
          <w:p w14:paraId="1BD3A13F" w14:textId="77777777" w:rsidR="00CF1997" w:rsidRPr="00960DBC" w:rsidRDefault="00CF1997" w:rsidP="00CF19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Current</w:t>
            </w:r>
          </w:p>
          <w:p w14:paraId="20DDB5BF" w14:textId="40FEC6D8" w:rsidR="00CF1997" w:rsidRPr="00960DBC" w:rsidRDefault="00CF1997" w:rsidP="00CF19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0DBC">
              <w:rPr>
                <w:rFonts w:ascii="Arial" w:hAnsi="Arial" w:cs="Arial"/>
                <w:b/>
                <w:sz w:val="22"/>
                <w:szCs w:val="22"/>
              </w:rPr>
              <w:t xml:space="preserve">FY </w:t>
            </w:r>
            <w:r w:rsidR="00EF6F01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FC490E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A67F73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EF6F0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C490E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14:paraId="74921B47" w14:textId="77777777" w:rsidR="00CF1997" w:rsidRPr="00960DBC" w:rsidRDefault="00CF1997" w:rsidP="00CF19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0DBC">
              <w:rPr>
                <w:rFonts w:ascii="Arial" w:hAnsi="Arial" w:cs="Arial"/>
                <w:b/>
                <w:sz w:val="22"/>
                <w:szCs w:val="22"/>
              </w:rPr>
              <w:t>Rates</w:t>
            </w:r>
          </w:p>
        </w:tc>
        <w:tc>
          <w:tcPr>
            <w:tcW w:w="1800" w:type="dxa"/>
          </w:tcPr>
          <w:p w14:paraId="242D6A28" w14:textId="77777777" w:rsidR="00CF1997" w:rsidRPr="00960DBC" w:rsidRDefault="00CF1997" w:rsidP="00CF19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Projected</w:t>
            </w:r>
          </w:p>
          <w:p w14:paraId="7D4E41A4" w14:textId="08F21128" w:rsidR="00CF1997" w:rsidRPr="00960DBC" w:rsidRDefault="00CF1997" w:rsidP="00CF19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0DBC">
              <w:rPr>
                <w:rFonts w:ascii="Arial" w:hAnsi="Arial" w:cs="Arial"/>
                <w:b/>
                <w:sz w:val="22"/>
                <w:szCs w:val="22"/>
              </w:rPr>
              <w:t xml:space="preserve">FY </w:t>
            </w:r>
            <w:r w:rsidR="00EF6F01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FC490E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A67F73">
              <w:rPr>
                <w:rFonts w:ascii="Arial" w:hAnsi="Arial" w:cs="Arial"/>
                <w:b/>
                <w:sz w:val="22"/>
                <w:szCs w:val="22"/>
              </w:rPr>
              <w:t>-2</w:t>
            </w:r>
            <w:r w:rsidR="00FC490E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  <w:p w14:paraId="3E392ADD" w14:textId="77777777" w:rsidR="00CF1997" w:rsidRPr="00960DBC" w:rsidRDefault="00CF1997" w:rsidP="00CF19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0DBC">
              <w:rPr>
                <w:rFonts w:ascii="Arial" w:hAnsi="Arial" w:cs="Arial"/>
                <w:b/>
                <w:sz w:val="22"/>
                <w:szCs w:val="22"/>
              </w:rPr>
              <w:t>Rates</w:t>
            </w:r>
          </w:p>
        </w:tc>
      </w:tr>
      <w:tr w:rsidR="00D72C35" w:rsidRPr="00DB7CB1" w14:paraId="1082588E" w14:textId="77777777" w:rsidTr="00150C75">
        <w:trPr>
          <w:jc w:val="center"/>
        </w:trPr>
        <w:tc>
          <w:tcPr>
            <w:tcW w:w="5102" w:type="dxa"/>
          </w:tcPr>
          <w:p w14:paraId="2F3CD48B" w14:textId="77777777" w:rsidR="00D72C35" w:rsidRPr="00DB7CB1" w:rsidRDefault="00D72C35" w:rsidP="00D72C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CB1">
              <w:rPr>
                <w:rFonts w:ascii="Arial" w:hAnsi="Arial" w:cs="Arial"/>
                <w:sz w:val="22"/>
                <w:szCs w:val="22"/>
              </w:rPr>
              <w:t>Worker’s Compensation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BB2AF7D" w14:textId="23251E4C" w:rsidR="00D72C35" w:rsidRPr="00150C75" w:rsidRDefault="00D72C35" w:rsidP="00D72C35">
            <w:pPr>
              <w:tabs>
                <w:tab w:val="decimal" w:pos="76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150C75">
              <w:rPr>
                <w:rFonts w:ascii="Arial" w:hAnsi="Arial" w:cs="Arial"/>
                <w:sz w:val="22"/>
                <w:szCs w:val="22"/>
              </w:rPr>
              <w:t>.1</w:t>
            </w:r>
            <w:r w:rsidR="00FC490E">
              <w:rPr>
                <w:rFonts w:ascii="Arial" w:hAnsi="Arial" w:cs="Arial"/>
                <w:sz w:val="22"/>
                <w:szCs w:val="22"/>
              </w:rPr>
              <w:t>2</w:t>
            </w:r>
            <w:r w:rsidRPr="00150C75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10323D5" w14:textId="561045D4" w:rsidR="00D72C35" w:rsidRPr="00150C75" w:rsidRDefault="00D72C35" w:rsidP="00D72C35">
            <w:pPr>
              <w:tabs>
                <w:tab w:val="decimal" w:pos="76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</w:t>
            </w:r>
            <w:r w:rsidR="00FC490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D72C35" w:rsidRPr="00DB7CB1" w14:paraId="2AC8ACA6" w14:textId="77777777" w:rsidTr="00150C75">
        <w:trPr>
          <w:trHeight w:val="287"/>
          <w:jc w:val="center"/>
        </w:trPr>
        <w:tc>
          <w:tcPr>
            <w:tcW w:w="5102" w:type="dxa"/>
          </w:tcPr>
          <w:p w14:paraId="738BFF92" w14:textId="77777777" w:rsidR="00D72C35" w:rsidRPr="00DB7CB1" w:rsidRDefault="00D72C35" w:rsidP="00D72C35">
            <w:pPr>
              <w:pStyle w:val="l1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DB7CB1">
              <w:rPr>
                <w:rFonts w:ascii="Arial" w:hAnsi="Arial" w:cs="Arial"/>
                <w:sz w:val="22"/>
                <w:szCs w:val="22"/>
              </w:rPr>
              <w:t>Unemployment Compensation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5CD888E3" w14:textId="69E0AB81" w:rsidR="00D72C35" w:rsidRPr="00150C75" w:rsidRDefault="00D72C35" w:rsidP="00D72C35">
            <w:pPr>
              <w:tabs>
                <w:tab w:val="decimal" w:pos="76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50C75">
              <w:rPr>
                <w:rFonts w:ascii="Arial" w:hAnsi="Arial" w:cs="Arial"/>
                <w:sz w:val="22"/>
                <w:szCs w:val="22"/>
              </w:rPr>
              <w:t>0.0</w:t>
            </w:r>
            <w:r w:rsidR="00FC490E">
              <w:rPr>
                <w:rFonts w:ascii="Arial" w:hAnsi="Arial" w:cs="Arial"/>
                <w:sz w:val="22"/>
                <w:szCs w:val="22"/>
              </w:rPr>
              <w:t>0</w:t>
            </w:r>
            <w:r w:rsidRPr="00150C75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7A084840" w14:textId="59D7B885" w:rsidR="00D72C35" w:rsidRPr="00150C75" w:rsidRDefault="00D72C35" w:rsidP="00D72C35">
            <w:pPr>
              <w:tabs>
                <w:tab w:val="decimal" w:pos="76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0.00%</w:t>
            </w:r>
          </w:p>
        </w:tc>
      </w:tr>
      <w:tr w:rsidR="00D72C35" w:rsidRPr="00DB7CB1" w14:paraId="5C12DE86" w14:textId="77777777" w:rsidTr="00150C75">
        <w:trPr>
          <w:jc w:val="center"/>
        </w:trPr>
        <w:tc>
          <w:tcPr>
            <w:tcW w:w="5102" w:type="dxa"/>
          </w:tcPr>
          <w:p w14:paraId="6F941745" w14:textId="77777777" w:rsidR="00D72C35" w:rsidRPr="000929F9" w:rsidRDefault="00D72C35" w:rsidP="00D72C35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  </w:t>
            </w:r>
            <w:r w:rsidRPr="000929F9">
              <w:rPr>
                <w:rFonts w:ascii="Arial" w:hAnsi="Arial" w:cs="Arial"/>
                <w:i/>
                <w:sz w:val="22"/>
                <w:szCs w:val="22"/>
              </w:rPr>
              <w:t>Sub-Total Worker's Comp. &amp; Unemployment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1F4DB066" w14:textId="7B7A0C76" w:rsidR="00D72C35" w:rsidRPr="00150C75" w:rsidRDefault="00D72C35" w:rsidP="00D72C35">
            <w:pPr>
              <w:tabs>
                <w:tab w:val="decimal" w:pos="762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50C75">
              <w:rPr>
                <w:rFonts w:ascii="Arial" w:hAnsi="Arial" w:cs="Arial"/>
                <w:b/>
                <w:sz w:val="22"/>
                <w:szCs w:val="22"/>
              </w:rPr>
              <w:t>0.</w:t>
            </w:r>
            <w:r w:rsidR="00FC490E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150C75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0274F620" w14:textId="2B5D2CEC" w:rsidR="00D72C35" w:rsidRPr="00150C75" w:rsidRDefault="00D72C35" w:rsidP="00D72C35">
            <w:pPr>
              <w:tabs>
                <w:tab w:val="decimal" w:pos="762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0.</w:t>
            </w:r>
            <w:r w:rsidR="00FC490E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0%</w:t>
            </w:r>
          </w:p>
        </w:tc>
      </w:tr>
      <w:tr w:rsidR="00D72C35" w:rsidRPr="00DB7CB1" w14:paraId="3F513F5F" w14:textId="77777777" w:rsidTr="00150C75">
        <w:trPr>
          <w:jc w:val="center"/>
        </w:trPr>
        <w:tc>
          <w:tcPr>
            <w:tcW w:w="5102" w:type="dxa"/>
          </w:tcPr>
          <w:p w14:paraId="5AEF9DA9" w14:textId="77777777" w:rsidR="00D72C35" w:rsidRPr="00DB7CB1" w:rsidRDefault="00D72C35" w:rsidP="00D72C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Termination Pay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35804B37" w14:textId="6ADD61B4" w:rsidR="00D72C35" w:rsidRPr="00150C75" w:rsidRDefault="00FC490E" w:rsidP="00D72C35">
            <w:pPr>
              <w:tabs>
                <w:tab w:val="decimal" w:pos="76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1.22</w:t>
            </w:r>
            <w:r w:rsidR="00D72C35" w:rsidRPr="00150C75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15D24943" w14:textId="33976804" w:rsidR="00D72C35" w:rsidRPr="00150C75" w:rsidRDefault="00C464B0" w:rsidP="00D72C35">
            <w:pPr>
              <w:tabs>
                <w:tab w:val="decimal" w:pos="76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72C35">
              <w:rPr>
                <w:rFonts w:ascii="Arial" w:hAnsi="Arial" w:cs="Arial"/>
                <w:sz w:val="22"/>
                <w:szCs w:val="22"/>
              </w:rPr>
              <w:t>.</w:t>
            </w:r>
            <w:r w:rsidR="00FC490E">
              <w:rPr>
                <w:rFonts w:ascii="Arial" w:hAnsi="Arial" w:cs="Arial"/>
                <w:sz w:val="22"/>
                <w:szCs w:val="22"/>
              </w:rPr>
              <w:t>04</w:t>
            </w:r>
            <w:r w:rsidR="00D72C35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D72C35" w:rsidRPr="00096541" w14:paraId="2D473F5B" w14:textId="77777777" w:rsidTr="00150C75">
        <w:trPr>
          <w:jc w:val="center"/>
        </w:trPr>
        <w:tc>
          <w:tcPr>
            <w:tcW w:w="5102" w:type="dxa"/>
          </w:tcPr>
          <w:p w14:paraId="2AF8E38C" w14:textId="77777777" w:rsidR="00D72C35" w:rsidRPr="00DB7CB1" w:rsidRDefault="00D72C35" w:rsidP="00D72C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CB1">
              <w:rPr>
                <w:rFonts w:ascii="Arial" w:hAnsi="Arial" w:cs="Arial"/>
                <w:sz w:val="22"/>
                <w:szCs w:val="22"/>
              </w:rPr>
              <w:t>Retiree Health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293E4901" w14:textId="12922BD8" w:rsidR="00D72C35" w:rsidRPr="00150C75" w:rsidRDefault="00D72C35" w:rsidP="00D72C35">
            <w:pPr>
              <w:tabs>
                <w:tab w:val="decimal" w:pos="76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50C75">
              <w:rPr>
                <w:rFonts w:ascii="Arial" w:hAnsi="Arial" w:cs="Arial"/>
                <w:sz w:val="22"/>
                <w:szCs w:val="22"/>
              </w:rPr>
              <w:t>0.</w:t>
            </w:r>
            <w:r w:rsidR="00FC490E">
              <w:rPr>
                <w:rFonts w:ascii="Arial" w:hAnsi="Arial" w:cs="Arial"/>
                <w:sz w:val="22"/>
                <w:szCs w:val="22"/>
              </w:rPr>
              <w:t>43</w:t>
            </w:r>
            <w:r w:rsidRPr="00150C75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5583685B" w14:textId="4E009193" w:rsidR="00D72C35" w:rsidRPr="00150C75" w:rsidRDefault="00D72C35" w:rsidP="00D72C35">
            <w:pPr>
              <w:tabs>
                <w:tab w:val="decimal" w:pos="76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</w:t>
            </w:r>
            <w:r w:rsidR="00FC490E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2%</w:t>
            </w:r>
          </w:p>
        </w:tc>
      </w:tr>
      <w:tr w:rsidR="00D72C35" w:rsidRPr="00DB7CB1" w14:paraId="797DD72A" w14:textId="77777777" w:rsidTr="00150C75">
        <w:trPr>
          <w:jc w:val="center"/>
        </w:trPr>
        <w:tc>
          <w:tcPr>
            <w:tcW w:w="5102" w:type="dxa"/>
          </w:tcPr>
          <w:p w14:paraId="215646CD" w14:textId="77777777" w:rsidR="00D72C35" w:rsidRPr="00150C75" w:rsidRDefault="00D72C35" w:rsidP="00D72C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C75">
              <w:rPr>
                <w:rFonts w:ascii="Arial" w:hAnsi="Arial" w:cs="Arial"/>
                <w:sz w:val="22"/>
                <w:szCs w:val="22"/>
              </w:rPr>
              <w:t>Parental Leave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05E6D78E" w14:textId="5ADBBC53" w:rsidR="00D72C35" w:rsidRPr="00150C75" w:rsidRDefault="00D72C35" w:rsidP="00D72C35">
            <w:pPr>
              <w:tabs>
                <w:tab w:val="decimal" w:pos="76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50C75">
              <w:rPr>
                <w:rFonts w:ascii="Arial" w:hAnsi="Arial" w:cs="Arial"/>
                <w:sz w:val="22"/>
                <w:szCs w:val="22"/>
              </w:rPr>
              <w:t>0.</w:t>
            </w:r>
            <w:r w:rsidR="00FC490E">
              <w:rPr>
                <w:rFonts w:ascii="Arial" w:hAnsi="Arial" w:cs="Arial"/>
                <w:sz w:val="22"/>
                <w:szCs w:val="22"/>
              </w:rPr>
              <w:t>52</w:t>
            </w:r>
            <w:r w:rsidRPr="00150C75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03E81517" w14:textId="7E785D3E" w:rsidR="00D72C35" w:rsidRPr="00150C75" w:rsidRDefault="00D72C35" w:rsidP="00D72C35">
            <w:pPr>
              <w:tabs>
                <w:tab w:val="decimal" w:pos="76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</w:t>
            </w:r>
            <w:r w:rsidR="00FC490E">
              <w:rPr>
                <w:rFonts w:ascii="Arial" w:hAnsi="Arial" w:cs="Arial"/>
                <w:sz w:val="22"/>
                <w:szCs w:val="22"/>
              </w:rPr>
              <w:t>3</w:t>
            </w:r>
            <w:r w:rsidR="00C464B0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D72C35" w:rsidRPr="00DB7CB1" w14:paraId="4D1D9BFB" w14:textId="77777777" w:rsidTr="00150C75">
        <w:trPr>
          <w:jc w:val="center"/>
        </w:trPr>
        <w:tc>
          <w:tcPr>
            <w:tcW w:w="5102" w:type="dxa"/>
          </w:tcPr>
          <w:p w14:paraId="6BB44EDB" w14:textId="444383A5" w:rsidR="00D72C35" w:rsidRPr="00150C75" w:rsidRDefault="00D72C35" w:rsidP="00D72C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C75">
              <w:rPr>
                <w:rFonts w:ascii="Arial" w:hAnsi="Arial" w:cs="Arial"/>
                <w:sz w:val="22"/>
                <w:szCs w:val="22"/>
              </w:rPr>
              <w:t>Tuition Waiver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7F421746" w14:textId="0CA433BF" w:rsidR="00D72C35" w:rsidRPr="00150C75" w:rsidRDefault="00D72C35" w:rsidP="00D72C35">
            <w:pPr>
              <w:tabs>
                <w:tab w:val="decimal" w:pos="76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50C75">
              <w:rPr>
                <w:rFonts w:ascii="Arial" w:hAnsi="Arial" w:cs="Arial"/>
                <w:sz w:val="22"/>
                <w:szCs w:val="22"/>
              </w:rPr>
              <w:t>0.</w:t>
            </w:r>
            <w:r w:rsidR="00FC490E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50C75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2583D20A" w14:textId="4B0633BC" w:rsidR="00D72C35" w:rsidRPr="00150C75" w:rsidRDefault="00D72C35" w:rsidP="00D72C35">
            <w:pPr>
              <w:tabs>
                <w:tab w:val="decimal" w:pos="76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0.4</w:t>
            </w:r>
            <w:r w:rsidR="00FC490E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D72C35" w:rsidRPr="00DB7CB1" w14:paraId="6F185295" w14:textId="77777777" w:rsidTr="00150C75">
        <w:trPr>
          <w:jc w:val="center"/>
        </w:trPr>
        <w:tc>
          <w:tcPr>
            <w:tcW w:w="5102" w:type="dxa"/>
          </w:tcPr>
          <w:p w14:paraId="03F5B791" w14:textId="0ADC660C" w:rsidR="00D72C35" w:rsidRPr="00150C75" w:rsidRDefault="00D72C35" w:rsidP="00D72C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C75">
              <w:rPr>
                <w:rFonts w:ascii="Arial" w:hAnsi="Arial" w:cs="Arial"/>
                <w:sz w:val="22"/>
                <w:szCs w:val="22"/>
              </w:rPr>
              <w:t>Mental Health*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048FDED1" w14:textId="1CC2BE02" w:rsidR="00D72C35" w:rsidRPr="00150C75" w:rsidRDefault="00D72C35" w:rsidP="00D72C35">
            <w:pPr>
              <w:tabs>
                <w:tab w:val="decimal" w:pos="76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50C75">
              <w:rPr>
                <w:rFonts w:ascii="Arial" w:hAnsi="Arial" w:cs="Arial"/>
                <w:sz w:val="22"/>
                <w:szCs w:val="22"/>
              </w:rPr>
              <w:t>0.</w:t>
            </w:r>
            <w:r w:rsidR="00FC490E">
              <w:rPr>
                <w:rFonts w:ascii="Arial" w:hAnsi="Arial" w:cs="Arial"/>
                <w:sz w:val="22"/>
                <w:szCs w:val="22"/>
              </w:rPr>
              <w:t>03</w:t>
            </w:r>
            <w:r w:rsidRPr="00150C75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1E63A0B0" w14:textId="2E818BC8" w:rsidR="00D72C35" w:rsidRPr="00150C75" w:rsidRDefault="00D72C35" w:rsidP="00D72C35">
            <w:pPr>
              <w:tabs>
                <w:tab w:val="decimal" w:pos="76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0.04%</w:t>
            </w:r>
          </w:p>
        </w:tc>
      </w:tr>
      <w:tr w:rsidR="00D72C35" w:rsidRPr="00DB7CB1" w14:paraId="43F0BB85" w14:textId="77777777" w:rsidTr="00150C75">
        <w:trPr>
          <w:jc w:val="center"/>
        </w:trPr>
        <w:tc>
          <w:tcPr>
            <w:tcW w:w="5102" w:type="dxa"/>
          </w:tcPr>
          <w:p w14:paraId="13250562" w14:textId="77777777" w:rsidR="00D72C35" w:rsidRPr="000929F9" w:rsidRDefault="00D72C35" w:rsidP="00D72C35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</w:t>
            </w:r>
            <w:r w:rsidRPr="000929F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Total 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0E4C3FC5" w14:textId="3FC9CB2C" w:rsidR="00D72C35" w:rsidRPr="00150C75" w:rsidRDefault="00D72C35" w:rsidP="00D72C35">
            <w:pPr>
              <w:tabs>
                <w:tab w:val="decimal" w:pos="762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50C75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FC490E">
              <w:rPr>
                <w:rFonts w:ascii="Arial" w:hAnsi="Arial" w:cs="Arial"/>
                <w:b/>
                <w:sz w:val="22"/>
                <w:szCs w:val="22"/>
              </w:rPr>
              <w:t>81</w:t>
            </w:r>
            <w:r w:rsidRPr="00150C75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1E3720C4" w14:textId="180EED24" w:rsidR="00D72C35" w:rsidRPr="00150C75" w:rsidRDefault="00D72C35" w:rsidP="00D72C35">
            <w:pPr>
              <w:tabs>
                <w:tab w:val="decimal" w:pos="762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C464B0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FC490E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</w:tbl>
    <w:p w14:paraId="39D7A6C5" w14:textId="262C18DB" w:rsidR="00D72C35" w:rsidRDefault="00D72C35" w:rsidP="00D72C35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*Tuition Waiver fringe rate does not apply to </w:t>
      </w:r>
      <w:r w:rsidR="005C1B93">
        <w:rPr>
          <w:rFonts w:ascii="Arial" w:hAnsi="Arial" w:cs="Arial"/>
          <w:sz w:val="18"/>
          <w:szCs w:val="18"/>
        </w:rPr>
        <w:t>grant funds (30/31)</w:t>
      </w:r>
    </w:p>
    <w:p w14:paraId="0556BFA0" w14:textId="6AC7B7A0" w:rsidR="002C10CE" w:rsidRDefault="00150C75" w:rsidP="00150C75">
      <w:pPr>
        <w:ind w:firstLine="720"/>
        <w:rPr>
          <w:rFonts w:ascii="Arial" w:hAnsi="Arial" w:cs="Arial"/>
          <w:sz w:val="18"/>
          <w:szCs w:val="18"/>
        </w:rPr>
      </w:pPr>
      <w:r w:rsidRPr="00150C75">
        <w:rPr>
          <w:rFonts w:ascii="Arial" w:hAnsi="Arial" w:cs="Arial"/>
          <w:sz w:val="18"/>
          <w:szCs w:val="18"/>
        </w:rPr>
        <w:t>*</w:t>
      </w:r>
      <w:r w:rsidR="00D72C35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>Mental Health fringe rate o</w:t>
      </w:r>
      <w:r w:rsidRPr="00150C75">
        <w:rPr>
          <w:rFonts w:ascii="Arial" w:hAnsi="Arial" w:cs="Arial"/>
          <w:sz w:val="18"/>
          <w:szCs w:val="18"/>
        </w:rPr>
        <w:t>nly applies to Anschutz Medical Campus</w:t>
      </w:r>
    </w:p>
    <w:p w14:paraId="6C021C96" w14:textId="77777777" w:rsidR="00150C75" w:rsidRPr="00150C75" w:rsidRDefault="00150C75" w:rsidP="00150C75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Parental Leave was consolidated with Termination Pay prior to FY2023-24</w:t>
      </w:r>
    </w:p>
    <w:p w14:paraId="280FA0ED" w14:textId="77777777" w:rsidR="00150C75" w:rsidRDefault="00150C75" w:rsidP="002C10CE">
      <w:pPr>
        <w:rPr>
          <w:rFonts w:ascii="Arial" w:hAnsi="Arial" w:cs="Arial"/>
          <w:sz w:val="22"/>
          <w:szCs w:val="22"/>
        </w:rPr>
      </w:pPr>
    </w:p>
    <w:p w14:paraId="7A9D7671" w14:textId="44C0149B" w:rsidR="002C10CE" w:rsidRDefault="002C10CE" w:rsidP="002C10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forward to others in your area that need this information. </w:t>
      </w:r>
      <w:r w:rsidRPr="00DB7CB1">
        <w:rPr>
          <w:rFonts w:ascii="Arial" w:hAnsi="Arial" w:cs="Arial"/>
          <w:sz w:val="22"/>
          <w:szCs w:val="22"/>
        </w:rPr>
        <w:t xml:space="preserve">Any questions about the projected rates or the fringe benefit policy should be directed </w:t>
      </w:r>
      <w:r w:rsidRPr="001F208E">
        <w:rPr>
          <w:rFonts w:ascii="Arial" w:hAnsi="Arial" w:cs="Arial"/>
          <w:sz w:val="22"/>
          <w:szCs w:val="22"/>
        </w:rPr>
        <w:t>to</w:t>
      </w:r>
      <w:r w:rsidR="00994DAD">
        <w:rPr>
          <w:rFonts w:ascii="Arial" w:hAnsi="Arial" w:cs="Arial"/>
          <w:sz w:val="22"/>
          <w:szCs w:val="22"/>
        </w:rPr>
        <w:t xml:space="preserve"> the appropriate email inbox depending on your campus, </w:t>
      </w:r>
      <w:hyperlink r:id="rId9" w:history="1">
        <w:r w:rsidR="00C464B0" w:rsidRPr="003A1517">
          <w:rPr>
            <w:rStyle w:val="Hyperlink"/>
            <w:rFonts w:ascii="Arial" w:hAnsi="Arial" w:cs="Arial"/>
            <w:sz w:val="22"/>
            <w:szCs w:val="22"/>
          </w:rPr>
          <w:t>Budget.Anschutz@cuanschutz.edu</w:t>
        </w:r>
      </w:hyperlink>
      <w:r w:rsidRPr="001F208E">
        <w:rPr>
          <w:rFonts w:ascii="Arial" w:hAnsi="Arial" w:cs="Arial"/>
          <w:sz w:val="22"/>
          <w:szCs w:val="22"/>
        </w:rPr>
        <w:t xml:space="preserve"> </w:t>
      </w:r>
      <w:r w:rsidR="00994DAD">
        <w:rPr>
          <w:rFonts w:ascii="Arial" w:hAnsi="Arial" w:cs="Arial"/>
          <w:sz w:val="22"/>
          <w:szCs w:val="22"/>
        </w:rPr>
        <w:t xml:space="preserve">or </w:t>
      </w:r>
      <w:hyperlink r:id="rId10" w:history="1">
        <w:r w:rsidR="00AA11D3" w:rsidRPr="003A1517">
          <w:rPr>
            <w:rStyle w:val="Hyperlink"/>
            <w:rFonts w:ascii="Arial" w:hAnsi="Arial" w:cs="Arial"/>
            <w:sz w:val="22"/>
            <w:szCs w:val="22"/>
          </w:rPr>
          <w:t>Budget@ucdenver.edu</w:t>
        </w:r>
      </w:hyperlink>
      <w:r w:rsidR="00994DAD">
        <w:rPr>
          <w:rFonts w:ascii="Arial" w:hAnsi="Arial" w:cs="Arial"/>
          <w:sz w:val="22"/>
          <w:szCs w:val="22"/>
        </w:rPr>
        <w:t>.</w:t>
      </w:r>
    </w:p>
    <w:p w14:paraId="05D5BECC" w14:textId="77777777" w:rsidR="00994DAD" w:rsidRDefault="00994DAD" w:rsidP="002C10CE">
      <w:pPr>
        <w:rPr>
          <w:rFonts w:ascii="Arial" w:hAnsi="Arial" w:cs="Arial"/>
          <w:sz w:val="22"/>
          <w:szCs w:val="22"/>
        </w:rPr>
      </w:pPr>
    </w:p>
    <w:p w14:paraId="74054164" w14:textId="77777777" w:rsidR="00CF1997" w:rsidRPr="00B35B20" w:rsidRDefault="00CF1997" w:rsidP="002C10CE">
      <w:pPr>
        <w:rPr>
          <w:rFonts w:ascii="Arial" w:hAnsi="Arial" w:cs="Arial"/>
          <w:sz w:val="22"/>
          <w:szCs w:val="22"/>
        </w:rPr>
      </w:pPr>
    </w:p>
    <w:p w14:paraId="08AA9CC2" w14:textId="77777777" w:rsidR="00924171" w:rsidRDefault="00924171" w:rsidP="004E019C">
      <w:pPr>
        <w:pStyle w:val="msotitle3"/>
        <w:widowControl w:val="0"/>
        <w:rPr>
          <w:rFonts w:eastAsia="Cambria"/>
          <w:sz w:val="22"/>
          <w:szCs w:val="22"/>
        </w:rPr>
      </w:pPr>
    </w:p>
    <w:sectPr w:rsidR="00924171" w:rsidSect="00C94289">
      <w:headerReference w:type="default" r:id="rId11"/>
      <w:footerReference w:type="default" r:id="rId12"/>
      <w:type w:val="continuous"/>
      <w:pgSz w:w="12240" w:h="15840"/>
      <w:pgMar w:top="270" w:right="540" w:bottom="18" w:left="1627" w:header="432" w:footer="432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2061C" w14:textId="77777777" w:rsidR="00033170" w:rsidRDefault="00033170" w:rsidP="006F3E4E">
      <w:r>
        <w:separator/>
      </w:r>
    </w:p>
  </w:endnote>
  <w:endnote w:type="continuationSeparator" w:id="0">
    <w:p w14:paraId="1BE26022" w14:textId="77777777" w:rsidR="00033170" w:rsidRDefault="00033170" w:rsidP="006F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">
    <w:altName w:val="Arial Ital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6EA9C" w14:textId="77777777" w:rsidR="00033170" w:rsidRDefault="00033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E2C01" w14:textId="77777777" w:rsidR="00033170" w:rsidRDefault="00033170" w:rsidP="006F3E4E">
      <w:r>
        <w:separator/>
      </w:r>
    </w:p>
  </w:footnote>
  <w:footnote w:type="continuationSeparator" w:id="0">
    <w:p w14:paraId="022B52FC" w14:textId="77777777" w:rsidR="00033170" w:rsidRDefault="00033170" w:rsidP="006F3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C6904" w14:textId="77777777" w:rsidR="00033170" w:rsidRDefault="003E7F8A">
    <w:pPr>
      <w:pStyle w:val="Header"/>
    </w:pPr>
    <w:r>
      <w:rPr>
        <w:noProof/>
        <w:lang w:eastAsia="zh-TW"/>
      </w:rPr>
      <w:pict w14:anchorId="5E739F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CE247E"/>
    <w:multiLevelType w:val="hybridMultilevel"/>
    <w:tmpl w:val="5365894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6844B4"/>
    <w:multiLevelType w:val="hybridMultilevel"/>
    <w:tmpl w:val="02E8B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C6987"/>
    <w:multiLevelType w:val="hybridMultilevel"/>
    <w:tmpl w:val="D4BCC6CE"/>
    <w:lvl w:ilvl="0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" w15:restartNumberingAfterBreak="0">
    <w:nsid w:val="0EF57671"/>
    <w:multiLevelType w:val="hybridMultilevel"/>
    <w:tmpl w:val="2A4AA1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E1AE2"/>
    <w:multiLevelType w:val="hybridMultilevel"/>
    <w:tmpl w:val="F858DFC0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65319D0"/>
    <w:multiLevelType w:val="hybridMultilevel"/>
    <w:tmpl w:val="2570A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81C6E"/>
    <w:multiLevelType w:val="hybridMultilevel"/>
    <w:tmpl w:val="8654B37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1DD933C2"/>
    <w:multiLevelType w:val="hybridMultilevel"/>
    <w:tmpl w:val="2C74A448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F3D69B7"/>
    <w:multiLevelType w:val="hybridMultilevel"/>
    <w:tmpl w:val="D7569AA2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5955D99"/>
    <w:multiLevelType w:val="hybridMultilevel"/>
    <w:tmpl w:val="D53C11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874D6"/>
    <w:multiLevelType w:val="hybridMultilevel"/>
    <w:tmpl w:val="15744BDC"/>
    <w:lvl w:ilvl="0" w:tplc="08E828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D0495"/>
    <w:multiLevelType w:val="hybridMultilevel"/>
    <w:tmpl w:val="18E8C470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1D189824">
      <w:numFmt w:val="bullet"/>
      <w:lvlText w:val="-"/>
      <w:lvlJc w:val="left"/>
      <w:pPr>
        <w:ind w:left="4536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2" w15:restartNumberingAfterBreak="0">
    <w:nsid w:val="4C6A4644"/>
    <w:multiLevelType w:val="hybridMultilevel"/>
    <w:tmpl w:val="BCEAD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351B2"/>
    <w:multiLevelType w:val="hybridMultilevel"/>
    <w:tmpl w:val="6436C436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65A93E46"/>
    <w:multiLevelType w:val="hybridMultilevel"/>
    <w:tmpl w:val="6AF007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80817"/>
    <w:multiLevelType w:val="hybridMultilevel"/>
    <w:tmpl w:val="3BF8F2A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5751252">
    <w:abstractNumId w:val="10"/>
  </w:num>
  <w:num w:numId="2" w16cid:durableId="1461731147">
    <w:abstractNumId w:val="0"/>
  </w:num>
  <w:num w:numId="3" w16cid:durableId="357006215">
    <w:abstractNumId w:val="6"/>
  </w:num>
  <w:num w:numId="4" w16cid:durableId="1502430325">
    <w:abstractNumId w:val="9"/>
  </w:num>
  <w:num w:numId="5" w16cid:durableId="2096900555">
    <w:abstractNumId w:val="2"/>
  </w:num>
  <w:num w:numId="6" w16cid:durableId="579606030">
    <w:abstractNumId w:val="11"/>
  </w:num>
  <w:num w:numId="7" w16cid:durableId="745885852">
    <w:abstractNumId w:val="13"/>
  </w:num>
  <w:num w:numId="8" w16cid:durableId="1598908776">
    <w:abstractNumId w:val="1"/>
  </w:num>
  <w:num w:numId="9" w16cid:durableId="1790859454">
    <w:abstractNumId w:val="7"/>
  </w:num>
  <w:num w:numId="10" w16cid:durableId="2091465742">
    <w:abstractNumId w:val="12"/>
  </w:num>
  <w:num w:numId="11" w16cid:durableId="1428308561">
    <w:abstractNumId w:val="4"/>
  </w:num>
  <w:num w:numId="12" w16cid:durableId="217593126">
    <w:abstractNumId w:val="8"/>
  </w:num>
  <w:num w:numId="13" w16cid:durableId="960527577">
    <w:abstractNumId w:val="15"/>
  </w:num>
  <w:num w:numId="14" w16cid:durableId="1342854929">
    <w:abstractNumId w:val="5"/>
  </w:num>
  <w:num w:numId="15" w16cid:durableId="59716710">
    <w:abstractNumId w:val="14"/>
  </w:num>
  <w:num w:numId="16" w16cid:durableId="484666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22"/>
    <w:rsid w:val="00024B5E"/>
    <w:rsid w:val="00027D41"/>
    <w:rsid w:val="00033170"/>
    <w:rsid w:val="00050BD2"/>
    <w:rsid w:val="00075EC2"/>
    <w:rsid w:val="00076D4E"/>
    <w:rsid w:val="00096541"/>
    <w:rsid w:val="000D28BA"/>
    <w:rsid w:val="001251CC"/>
    <w:rsid w:val="0013460F"/>
    <w:rsid w:val="00142149"/>
    <w:rsid w:val="00150C75"/>
    <w:rsid w:val="001528B5"/>
    <w:rsid w:val="0018709F"/>
    <w:rsid w:val="001D286C"/>
    <w:rsid w:val="001E5F55"/>
    <w:rsid w:val="001F208E"/>
    <w:rsid w:val="001F53FA"/>
    <w:rsid w:val="001F77D9"/>
    <w:rsid w:val="00222847"/>
    <w:rsid w:val="00250986"/>
    <w:rsid w:val="00257A07"/>
    <w:rsid w:val="002C10CE"/>
    <w:rsid w:val="003361A7"/>
    <w:rsid w:val="00342163"/>
    <w:rsid w:val="003A3E52"/>
    <w:rsid w:val="003D564C"/>
    <w:rsid w:val="003E7F8A"/>
    <w:rsid w:val="0040628A"/>
    <w:rsid w:val="0041163B"/>
    <w:rsid w:val="00411A4D"/>
    <w:rsid w:val="00416DCF"/>
    <w:rsid w:val="00424A61"/>
    <w:rsid w:val="00451762"/>
    <w:rsid w:val="004B2D9F"/>
    <w:rsid w:val="004E019C"/>
    <w:rsid w:val="004F2D20"/>
    <w:rsid w:val="00516871"/>
    <w:rsid w:val="00532C4D"/>
    <w:rsid w:val="00591BB3"/>
    <w:rsid w:val="005B3494"/>
    <w:rsid w:val="005C1B93"/>
    <w:rsid w:val="005C4C37"/>
    <w:rsid w:val="005D43CD"/>
    <w:rsid w:val="005D50AF"/>
    <w:rsid w:val="005F61E8"/>
    <w:rsid w:val="006230FE"/>
    <w:rsid w:val="00663856"/>
    <w:rsid w:val="006770BD"/>
    <w:rsid w:val="00680DCD"/>
    <w:rsid w:val="006F3E4E"/>
    <w:rsid w:val="00743A54"/>
    <w:rsid w:val="00782F64"/>
    <w:rsid w:val="00797C8F"/>
    <w:rsid w:val="007C5667"/>
    <w:rsid w:val="007D5F40"/>
    <w:rsid w:val="00867B70"/>
    <w:rsid w:val="008A1BB2"/>
    <w:rsid w:val="008C5431"/>
    <w:rsid w:val="008E144D"/>
    <w:rsid w:val="00924171"/>
    <w:rsid w:val="009247D5"/>
    <w:rsid w:val="00994DAD"/>
    <w:rsid w:val="009B61FE"/>
    <w:rsid w:val="009C0C29"/>
    <w:rsid w:val="00A00BA9"/>
    <w:rsid w:val="00A10D2E"/>
    <w:rsid w:val="00A5450B"/>
    <w:rsid w:val="00A67F73"/>
    <w:rsid w:val="00AA11D3"/>
    <w:rsid w:val="00B11924"/>
    <w:rsid w:val="00B35B20"/>
    <w:rsid w:val="00B756DD"/>
    <w:rsid w:val="00B811DE"/>
    <w:rsid w:val="00B83783"/>
    <w:rsid w:val="00B95B32"/>
    <w:rsid w:val="00BF19E3"/>
    <w:rsid w:val="00BF56E9"/>
    <w:rsid w:val="00C464B0"/>
    <w:rsid w:val="00C60921"/>
    <w:rsid w:val="00C70953"/>
    <w:rsid w:val="00C94289"/>
    <w:rsid w:val="00CF1997"/>
    <w:rsid w:val="00D34884"/>
    <w:rsid w:val="00D72C35"/>
    <w:rsid w:val="00D8520F"/>
    <w:rsid w:val="00E143F9"/>
    <w:rsid w:val="00E456A8"/>
    <w:rsid w:val="00E50C22"/>
    <w:rsid w:val="00E66517"/>
    <w:rsid w:val="00E81A68"/>
    <w:rsid w:val="00E85221"/>
    <w:rsid w:val="00E85248"/>
    <w:rsid w:val="00EA1E38"/>
    <w:rsid w:val="00EF6F01"/>
    <w:rsid w:val="00F25976"/>
    <w:rsid w:val="00F37499"/>
    <w:rsid w:val="00F759DE"/>
    <w:rsid w:val="00FC490E"/>
    <w:rsid w:val="00FC539A"/>
    <w:rsid w:val="00FE04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D16051D"/>
  <w15:docId w15:val="{0720CBCF-2FD1-48EC-AFF9-D689E51B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427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7C8F"/>
    <w:pPr>
      <w:keepNext/>
      <w:ind w:left="2160"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8D04A1"/>
    <w:rPr>
      <w:rFonts w:cs="Times New Roman"/>
      <w:color w:val="0000FF"/>
      <w:u w:val="single"/>
    </w:rPr>
  </w:style>
  <w:style w:type="paragraph" w:customStyle="1" w:styleId="Default">
    <w:name w:val="Default"/>
    <w:rsid w:val="008D04A1"/>
    <w:pPr>
      <w:widowControl w:val="0"/>
      <w:autoSpaceDE w:val="0"/>
      <w:autoSpaceDN w:val="0"/>
      <w:adjustRightInd w:val="0"/>
    </w:pPr>
    <w:rPr>
      <w:rFonts w:ascii="HelveticaNeueLT Std" w:eastAsia="Times New Roman" w:hAnsi="HelveticaNeueLT Std" w:cs="HelveticaNeueL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8D04A1"/>
    <w:pPr>
      <w:spacing w:line="20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8D04A1"/>
    <w:pPr>
      <w:spacing w:line="201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rsid w:val="008D04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8D04A1"/>
    <w:rPr>
      <w:rFonts w:cs="Times New Roman"/>
    </w:rPr>
  </w:style>
  <w:style w:type="paragraph" w:styleId="Footer">
    <w:name w:val="footer"/>
    <w:basedOn w:val="Normal"/>
    <w:link w:val="FooterChar"/>
    <w:rsid w:val="008D04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8D04A1"/>
    <w:rPr>
      <w:rFonts w:cs="Times New Roman"/>
    </w:rPr>
  </w:style>
  <w:style w:type="table" w:styleId="TableGrid">
    <w:name w:val="Table Grid"/>
    <w:basedOn w:val="TableNormal"/>
    <w:rsid w:val="00CC38A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14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43F9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FC539A"/>
    <w:rPr>
      <w:i/>
      <w:iCs/>
    </w:rPr>
  </w:style>
  <w:style w:type="paragraph" w:customStyle="1" w:styleId="t1">
    <w:name w:val="t1"/>
    <w:basedOn w:val="Normal"/>
    <w:rsid w:val="00C70953"/>
    <w:pPr>
      <w:widowControl w:val="0"/>
      <w:spacing w:line="240" w:lineRule="atLeast"/>
    </w:pPr>
    <w:rPr>
      <w:rFonts w:ascii="Times New Roman" w:hAnsi="Times New Roman"/>
      <w:snapToGrid w:val="0"/>
      <w:szCs w:val="20"/>
    </w:rPr>
  </w:style>
  <w:style w:type="paragraph" w:customStyle="1" w:styleId="p3">
    <w:name w:val="p3"/>
    <w:basedOn w:val="Normal"/>
    <w:rsid w:val="00C70953"/>
    <w:pPr>
      <w:widowControl w:val="0"/>
      <w:tabs>
        <w:tab w:val="left" w:pos="720"/>
      </w:tabs>
      <w:spacing w:line="280" w:lineRule="atLeast"/>
    </w:pPr>
    <w:rPr>
      <w:rFonts w:ascii="Times New Roman" w:hAnsi="Times New Roman"/>
      <w:snapToGrid w:val="0"/>
      <w:szCs w:val="20"/>
    </w:rPr>
  </w:style>
  <w:style w:type="paragraph" w:customStyle="1" w:styleId="p4">
    <w:name w:val="p4"/>
    <w:basedOn w:val="Normal"/>
    <w:rsid w:val="00C70953"/>
    <w:pPr>
      <w:widowControl w:val="0"/>
      <w:tabs>
        <w:tab w:val="left" w:pos="780"/>
      </w:tabs>
      <w:spacing w:line="280" w:lineRule="atLeast"/>
      <w:ind w:left="660"/>
    </w:pPr>
    <w:rPr>
      <w:rFonts w:ascii="Times New Roman" w:hAnsi="Times New Roman"/>
      <w:snapToGrid w:val="0"/>
      <w:szCs w:val="20"/>
    </w:rPr>
  </w:style>
  <w:style w:type="paragraph" w:customStyle="1" w:styleId="p9">
    <w:name w:val="p9"/>
    <w:basedOn w:val="Normal"/>
    <w:rsid w:val="00C70953"/>
    <w:pPr>
      <w:widowControl w:val="0"/>
      <w:tabs>
        <w:tab w:val="left" w:pos="780"/>
        <w:tab w:val="left" w:pos="1120"/>
      </w:tabs>
      <w:spacing w:line="280" w:lineRule="atLeast"/>
      <w:ind w:left="288" w:hanging="432"/>
    </w:pPr>
    <w:rPr>
      <w:rFonts w:ascii="Times New Roman" w:hAnsi="Times New Roman"/>
      <w:snapToGrid w:val="0"/>
      <w:szCs w:val="20"/>
    </w:rPr>
  </w:style>
  <w:style w:type="paragraph" w:customStyle="1" w:styleId="p13">
    <w:name w:val="p13"/>
    <w:basedOn w:val="Normal"/>
    <w:rsid w:val="00C70953"/>
    <w:pPr>
      <w:widowControl w:val="0"/>
      <w:tabs>
        <w:tab w:val="left" w:pos="1220"/>
      </w:tabs>
      <w:spacing w:line="280" w:lineRule="atLeast"/>
      <w:ind w:left="288" w:hanging="1152"/>
    </w:pPr>
    <w:rPr>
      <w:rFonts w:ascii="Times New Roman" w:hAnsi="Times New Roman"/>
      <w:snapToGrid w:val="0"/>
      <w:szCs w:val="20"/>
    </w:rPr>
  </w:style>
  <w:style w:type="paragraph" w:styleId="BodyText">
    <w:name w:val="Body Text"/>
    <w:basedOn w:val="Normal"/>
    <w:link w:val="BodyTextChar"/>
    <w:rsid w:val="00C70953"/>
    <w:pPr>
      <w:widowControl w:val="0"/>
      <w:tabs>
        <w:tab w:val="left" w:pos="180"/>
      </w:tabs>
      <w:spacing w:line="280" w:lineRule="exact"/>
    </w:pPr>
    <w:rPr>
      <w:rFonts w:ascii="Times New Roman" w:hAnsi="Times New Roman"/>
      <w:i/>
      <w:iCs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C70953"/>
    <w:rPr>
      <w:rFonts w:ascii="Times New Roman" w:eastAsia="Times New Roman" w:hAnsi="Times New Roman"/>
      <w:i/>
      <w:iCs/>
      <w:snapToGrid w:val="0"/>
      <w:sz w:val="24"/>
    </w:rPr>
  </w:style>
  <w:style w:type="character" w:customStyle="1" w:styleId="EmailStyle34">
    <w:name w:val="EmailStyle34"/>
    <w:semiHidden/>
    <w:rsid w:val="00C70953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41163B"/>
    <w:pPr>
      <w:ind w:left="720"/>
      <w:contextualSpacing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797C8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msotitle3">
    <w:name w:val="msotitle3"/>
    <w:rsid w:val="003D564C"/>
    <w:rPr>
      <w:rFonts w:ascii="Times New Roman" w:eastAsia="Times New Roman" w:hAnsi="Times New Roman"/>
      <w:b/>
      <w:bCs/>
      <w:color w:val="000000"/>
      <w:kern w:val="28"/>
      <w:sz w:val="36"/>
      <w:szCs w:val="36"/>
    </w:rPr>
  </w:style>
  <w:style w:type="paragraph" w:customStyle="1" w:styleId="l1">
    <w:name w:val="l1"/>
    <w:basedOn w:val="Normal"/>
    <w:rsid w:val="002C10CE"/>
    <w:pPr>
      <w:spacing w:before="240"/>
    </w:pPr>
    <w:rPr>
      <w:rFonts w:ascii="Century Schoolbook" w:hAnsi="Century Schoolbook"/>
      <w:szCs w:val="20"/>
    </w:rPr>
  </w:style>
  <w:style w:type="character" w:styleId="FollowedHyperlink">
    <w:name w:val="FollowedHyperlink"/>
    <w:basedOn w:val="DefaultParagraphFont"/>
    <w:semiHidden/>
    <w:unhideWhenUsed/>
    <w:rsid w:val="005C4C37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096541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46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denver.edu/research/OGC/awardadmin/preaward/Pages/fringe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udget@ucdenver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dget.Anschutz@cuanschutz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Denver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buttse</dc:creator>
  <cp:lastModifiedBy>Kenney, Sara</cp:lastModifiedBy>
  <cp:revision>2</cp:revision>
  <cp:lastPrinted>2013-11-14T17:36:00Z</cp:lastPrinted>
  <dcterms:created xsi:type="dcterms:W3CDTF">2025-08-04T15:29:00Z</dcterms:created>
  <dcterms:modified xsi:type="dcterms:W3CDTF">2025-08-04T15:29:00Z</dcterms:modified>
</cp:coreProperties>
</file>